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FD" w:rsidRDefault="00C85AFD" w:rsidP="008076BF">
      <w:pPr>
        <w:jc w:val="center"/>
        <w:rPr>
          <w:rFonts w:ascii="Cambria" w:hAnsi="Cambria"/>
          <w:b/>
          <w:bCs/>
          <w:lang w:val="it-IT"/>
        </w:rPr>
      </w:pPr>
      <w:r w:rsidRPr="00C85AFD">
        <w:rPr>
          <w:rFonts w:ascii="Cambria" w:hAnsi="Cambria"/>
          <w:b/>
          <w:bCs/>
          <w:noProof/>
          <w:lang w:val="it-IT" w:eastAsia="it-IT"/>
        </w:rPr>
        <w:drawing>
          <wp:inline distT="0" distB="0" distL="0" distR="0">
            <wp:extent cx="485775" cy="504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FD" w:rsidRDefault="00C85AFD" w:rsidP="008076BF">
      <w:pPr>
        <w:jc w:val="center"/>
        <w:rPr>
          <w:rFonts w:ascii="Cambria" w:hAnsi="Cambria"/>
          <w:b/>
          <w:bCs/>
          <w:lang w:val="it-IT"/>
        </w:rPr>
      </w:pPr>
    </w:p>
    <w:p w:rsidR="00C85AFD" w:rsidRPr="00C85AFD" w:rsidRDefault="00C85AFD" w:rsidP="00C85AFD">
      <w:pPr>
        <w:jc w:val="center"/>
        <w:rPr>
          <w:rFonts w:ascii="Tahoma" w:hAnsi="Tahoma" w:cs="Tahoma"/>
          <w:b/>
          <w:lang w:val="it-IT"/>
        </w:rPr>
      </w:pPr>
      <w:r w:rsidRPr="00C85AFD">
        <w:rPr>
          <w:rFonts w:ascii="Tahoma" w:hAnsi="Tahoma" w:cs="Tahoma"/>
          <w:b/>
          <w:noProof/>
          <w:lang w:val="it-IT"/>
        </w:rPr>
        <w:t>Ministero dell'Istruzione e</w:t>
      </w:r>
      <w:r w:rsidR="00175C51">
        <w:rPr>
          <w:rFonts w:ascii="Tahoma" w:hAnsi="Tahoma" w:cs="Tahoma"/>
          <w:b/>
          <w:noProof/>
          <w:lang w:val="it-IT"/>
        </w:rPr>
        <w:t xml:space="preserve"> del Merito</w:t>
      </w:r>
    </w:p>
    <w:p w:rsidR="00C85AFD" w:rsidRPr="00C85AFD" w:rsidRDefault="00C85AFD" w:rsidP="00C85AFD">
      <w:pPr>
        <w:jc w:val="center"/>
        <w:outlineLvl w:val="0"/>
        <w:rPr>
          <w:rFonts w:ascii="Tahoma" w:hAnsi="Tahoma" w:cs="Tahoma"/>
          <w:sz w:val="16"/>
          <w:szCs w:val="16"/>
          <w:lang w:val="it-IT"/>
        </w:rPr>
      </w:pPr>
      <w:r w:rsidRPr="00C85AFD">
        <w:rPr>
          <w:rFonts w:ascii="Tahoma" w:hAnsi="Tahoma" w:cs="Tahoma"/>
          <w:sz w:val="16"/>
          <w:szCs w:val="16"/>
          <w:lang w:val="it-IT"/>
        </w:rPr>
        <w:t xml:space="preserve">UFFICIO SCOLASTICO REGIONALE PER </w:t>
      </w:r>
      <w:r w:rsidRPr="00C85AFD">
        <w:rPr>
          <w:rFonts w:ascii="Tahoma" w:hAnsi="Tahoma" w:cs="Tahoma"/>
          <w:noProof/>
          <w:sz w:val="16"/>
          <w:szCs w:val="16"/>
          <w:lang w:val="it-IT"/>
        </w:rPr>
        <w:t>IL LAZIO</w:t>
      </w:r>
    </w:p>
    <w:p w:rsidR="00C85AFD" w:rsidRPr="00C85AFD" w:rsidRDefault="00C85AFD" w:rsidP="00C85AFD">
      <w:pPr>
        <w:jc w:val="center"/>
        <w:outlineLvl w:val="0"/>
        <w:rPr>
          <w:rFonts w:ascii="Tahoma" w:hAnsi="Tahoma" w:cs="Tahoma"/>
          <w:noProof/>
          <w:sz w:val="40"/>
          <w:szCs w:val="40"/>
          <w:lang w:val="it-IT"/>
        </w:rPr>
      </w:pPr>
      <w:r w:rsidRPr="00C85AFD">
        <w:rPr>
          <w:rFonts w:ascii="Tahoma" w:hAnsi="Tahoma" w:cs="Tahoma"/>
          <w:b/>
          <w:noProof/>
          <w:lang w:val="it-IT"/>
        </w:rPr>
        <w:t>ISTITUTO</w:t>
      </w:r>
      <w:r w:rsidRPr="00C85AFD">
        <w:rPr>
          <w:rFonts w:ascii="Tahoma" w:hAnsi="Tahoma" w:cs="Tahoma"/>
          <w:b/>
          <w:noProof/>
          <w:sz w:val="40"/>
          <w:szCs w:val="40"/>
          <w:lang w:val="it-IT"/>
        </w:rPr>
        <w:t xml:space="preserve"> </w:t>
      </w:r>
      <w:r w:rsidRPr="00C85AFD">
        <w:rPr>
          <w:rFonts w:ascii="Tahoma" w:hAnsi="Tahoma" w:cs="Tahoma"/>
          <w:b/>
          <w:noProof/>
          <w:lang w:val="it-IT"/>
        </w:rPr>
        <w:t>DI ISTRUZIONE SUPERIORE “GOBETTI – DE LIBERO”</w:t>
      </w:r>
      <w:r w:rsidRPr="00C85AFD">
        <w:rPr>
          <w:rFonts w:ascii="Tahoma" w:hAnsi="Tahoma" w:cs="Tahoma"/>
          <w:noProof/>
          <w:sz w:val="40"/>
          <w:szCs w:val="40"/>
          <w:lang w:val="it-IT"/>
        </w:rPr>
        <w:t xml:space="preserve"> </w:t>
      </w:r>
    </w:p>
    <w:p w:rsidR="00C85AFD" w:rsidRDefault="00C85AFD" w:rsidP="008076BF">
      <w:pPr>
        <w:jc w:val="center"/>
        <w:rPr>
          <w:rFonts w:ascii="Cambria" w:hAnsi="Cambria"/>
          <w:b/>
          <w:bCs/>
          <w:lang w:val="it-IT"/>
        </w:rPr>
      </w:pPr>
    </w:p>
    <w:p w:rsidR="008076BF" w:rsidRDefault="008076BF" w:rsidP="008076BF">
      <w:pPr>
        <w:jc w:val="center"/>
        <w:rPr>
          <w:rFonts w:asciiTheme="majorHAnsi" w:hAnsiTheme="majorHAnsi" w:cs="Bookman Old Style"/>
          <w:b/>
          <w:lang w:val="it-IT"/>
        </w:rPr>
      </w:pPr>
      <w:r w:rsidRPr="00504DB9">
        <w:rPr>
          <w:rFonts w:ascii="Cambria" w:hAnsi="Cambria"/>
          <w:b/>
          <w:bCs/>
          <w:lang w:val="it-IT"/>
        </w:rPr>
        <w:t>(CORRELATO N.2)</w:t>
      </w:r>
    </w:p>
    <w:p w:rsidR="008076BF" w:rsidRDefault="008076BF" w:rsidP="00C8212F">
      <w:pPr>
        <w:jc w:val="center"/>
        <w:rPr>
          <w:rFonts w:asciiTheme="majorHAnsi" w:hAnsiTheme="majorHAnsi" w:cs="Bookman Old Style"/>
          <w:b/>
          <w:lang w:val="it-IT"/>
        </w:rPr>
      </w:pPr>
    </w:p>
    <w:p w:rsidR="00C8212F" w:rsidRPr="008076BF" w:rsidRDefault="00C8212F" w:rsidP="00C8212F">
      <w:pPr>
        <w:jc w:val="center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REGOLAMENTO APPLICATIVO DEL LIMITE DELLE ASSENZE</w:t>
      </w:r>
      <w:r w:rsidR="008076BF">
        <w:rPr>
          <w:rFonts w:asciiTheme="majorHAnsi" w:hAnsiTheme="majorHAnsi" w:cs="Bookman Old Style"/>
          <w:b/>
          <w:lang w:val="it-IT"/>
        </w:rPr>
        <w:t xml:space="preserve">  </w:t>
      </w:r>
    </w:p>
    <w:p w:rsidR="00C8212F" w:rsidRPr="009D5E5E" w:rsidRDefault="00C8212F" w:rsidP="00C8212F">
      <w:pPr>
        <w:jc w:val="center"/>
        <w:rPr>
          <w:rFonts w:asciiTheme="majorHAnsi" w:hAnsiTheme="majorHAnsi" w:cs="Bookman Old Style"/>
          <w:b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PER LA VALIDITÀ DELL'ANNO SCOLASTICO</w:t>
      </w: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Riferimenti legislativi</w:t>
      </w:r>
    </w:p>
    <w:p w:rsidR="00C8212F" w:rsidRPr="009D5E5E" w:rsidRDefault="00C8212F" w:rsidP="00C8212F">
      <w:pPr>
        <w:pStyle w:val="Paragrafoelenco1"/>
        <w:numPr>
          <w:ilvl w:val="0"/>
          <w:numId w:val="1"/>
        </w:numPr>
        <w:rPr>
          <w:rFonts w:asciiTheme="majorHAnsi" w:hAnsiTheme="majorHAnsi"/>
        </w:rPr>
      </w:pPr>
      <w:r w:rsidRPr="009D5E5E">
        <w:rPr>
          <w:rFonts w:asciiTheme="majorHAnsi" w:hAnsiTheme="majorHAnsi" w:cs="Bookman Old Style"/>
        </w:rPr>
        <w:t>Il D.P.R. n. 122 del 22 giugno 2009, art. 14 comma 7.</w:t>
      </w:r>
    </w:p>
    <w:p w:rsidR="00C8212F" w:rsidRPr="009D5E5E" w:rsidRDefault="00C8212F" w:rsidP="00C8212F">
      <w:pPr>
        <w:pStyle w:val="Paragrafoelenco1"/>
        <w:numPr>
          <w:ilvl w:val="0"/>
          <w:numId w:val="1"/>
        </w:numPr>
        <w:rPr>
          <w:rFonts w:asciiTheme="majorHAnsi" w:hAnsiTheme="majorHAnsi"/>
        </w:rPr>
      </w:pPr>
      <w:r w:rsidRPr="009D5E5E">
        <w:rPr>
          <w:rFonts w:asciiTheme="majorHAnsi" w:hAnsiTheme="majorHAnsi" w:cs="Bookman Old Style"/>
        </w:rPr>
        <w:t xml:space="preserve">Nota MIUR </w:t>
      </w:r>
      <w:proofErr w:type="spellStart"/>
      <w:r w:rsidRPr="009D5E5E">
        <w:rPr>
          <w:rFonts w:asciiTheme="majorHAnsi" w:hAnsiTheme="majorHAnsi" w:cs="Bookman Old Style"/>
        </w:rPr>
        <w:t>prot</w:t>
      </w:r>
      <w:proofErr w:type="spellEnd"/>
      <w:r w:rsidRPr="009D5E5E">
        <w:rPr>
          <w:rFonts w:asciiTheme="majorHAnsi" w:hAnsiTheme="majorHAnsi" w:cs="Bookman Old Style"/>
        </w:rPr>
        <w:t xml:space="preserve">. N. 7736 del </w:t>
      </w:r>
      <w:proofErr w:type="spellStart"/>
      <w:r w:rsidRPr="009D5E5E">
        <w:rPr>
          <w:rFonts w:asciiTheme="majorHAnsi" w:hAnsiTheme="majorHAnsi" w:cs="Bookman Old Style"/>
        </w:rPr>
        <w:t>del</w:t>
      </w:r>
      <w:proofErr w:type="spellEnd"/>
      <w:r w:rsidRPr="009D5E5E">
        <w:rPr>
          <w:rFonts w:asciiTheme="majorHAnsi" w:hAnsiTheme="majorHAnsi" w:cs="Bookman Old Style"/>
        </w:rPr>
        <w:t xml:space="preserve"> 27 ottobre 2010</w:t>
      </w:r>
    </w:p>
    <w:p w:rsidR="006755EF" w:rsidRPr="006755EF" w:rsidRDefault="006755EF" w:rsidP="006755EF">
      <w:pPr>
        <w:pStyle w:val="Paragrafoelenco1"/>
        <w:numPr>
          <w:ilvl w:val="0"/>
          <w:numId w:val="1"/>
        </w:numPr>
        <w:rPr>
          <w:rFonts w:asciiTheme="majorHAnsi" w:hAnsiTheme="majorHAnsi" w:cs="Bookman Old Style"/>
        </w:rPr>
      </w:pPr>
      <w:r w:rsidRPr="006755EF">
        <w:rPr>
          <w:rFonts w:asciiTheme="majorHAnsi" w:hAnsiTheme="majorHAnsi" w:cs="Bookman Old Style"/>
        </w:rPr>
        <w:t>C.M. n. 20 del 04/03/2011</w:t>
      </w:r>
    </w:p>
    <w:p w:rsidR="00C8212F" w:rsidRPr="006755EF" w:rsidRDefault="006755EF" w:rsidP="006755EF">
      <w:pPr>
        <w:pStyle w:val="Paragrafoelenco1"/>
        <w:numPr>
          <w:ilvl w:val="0"/>
          <w:numId w:val="1"/>
        </w:numPr>
        <w:rPr>
          <w:rFonts w:asciiTheme="majorHAnsi" w:hAnsiTheme="majorHAnsi" w:cs="Bookman Old Style"/>
        </w:rPr>
      </w:pPr>
      <w:r w:rsidRPr="006755EF">
        <w:rPr>
          <w:rFonts w:asciiTheme="majorHAnsi" w:hAnsiTheme="majorHAnsi" w:cs="Bookman Old Style"/>
        </w:rPr>
        <w:t>C.M. n. 95 del 24/11/2011)</w:t>
      </w:r>
    </w:p>
    <w:p w:rsidR="006755EF" w:rsidRDefault="006755EF" w:rsidP="00C8212F">
      <w:pPr>
        <w:jc w:val="both"/>
        <w:rPr>
          <w:rFonts w:asciiTheme="majorHAnsi" w:hAnsiTheme="majorHAnsi" w:cs="Bookman Old Style"/>
          <w:lang w:val="it-IT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 xml:space="preserve">In ragione dei riferimenti normativi citati, degli artt. 2 e 3 del </w:t>
      </w:r>
      <w:proofErr w:type="spellStart"/>
      <w:r w:rsidRPr="009D5E5E">
        <w:rPr>
          <w:rFonts w:asciiTheme="majorHAnsi" w:hAnsiTheme="majorHAnsi" w:cs="Bookman Old Style"/>
          <w:lang w:val="it-IT"/>
        </w:rPr>
        <w:t>DL</w:t>
      </w:r>
      <w:proofErr w:type="spellEnd"/>
      <w:r w:rsidRPr="009D5E5E">
        <w:rPr>
          <w:rFonts w:asciiTheme="majorHAnsi" w:hAnsiTheme="majorHAnsi" w:cs="Bookman Old Style"/>
          <w:lang w:val="it-IT"/>
        </w:rPr>
        <w:t xml:space="preserve"> 1/09/2008, n. 137, convertito con modificazioni dalla legge 30/10/2008, n. 169, il Collegio dei docenti ha deliberato il seguente regolamento in relazione alla materia in oggetto:</w:t>
      </w:r>
    </w:p>
    <w:p w:rsidR="00C8212F" w:rsidRPr="009D5E5E" w:rsidRDefault="00C8212F" w:rsidP="00C8212F">
      <w:pPr>
        <w:jc w:val="both"/>
        <w:rPr>
          <w:rFonts w:asciiTheme="majorHAnsi" w:hAnsiTheme="majorHAnsi" w:cs="Bookman Old Style"/>
          <w:lang w:val="it-IT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1</w:t>
      </w:r>
      <w:r w:rsidRPr="009D5E5E">
        <w:rPr>
          <w:rFonts w:asciiTheme="majorHAnsi" w:hAnsiTheme="majorHAnsi" w:cs="Bookman Old Style"/>
          <w:lang w:val="it-IT"/>
        </w:rPr>
        <w:t xml:space="preserve"> </w:t>
      </w: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Gli studenti, secondo quanto previsto dallo “Statuto delle studentesse e degli studenti”, sono tenuti a frequentare regolarmente i corsi e ad assolvere agli impegni di studio.</w:t>
      </w:r>
    </w:p>
    <w:p w:rsidR="00C8212F" w:rsidRPr="009D5E5E" w:rsidRDefault="00C8212F" w:rsidP="00C8212F">
      <w:pPr>
        <w:jc w:val="both"/>
        <w:rPr>
          <w:rFonts w:asciiTheme="majorHAnsi" w:hAnsiTheme="majorHAnsi" w:cs="Bookman Old Style"/>
          <w:lang w:val="it-IT"/>
        </w:rPr>
      </w:pP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2</w:t>
      </w:r>
      <w:r w:rsidRPr="009D5E5E">
        <w:rPr>
          <w:rFonts w:asciiTheme="majorHAnsi" w:hAnsiTheme="majorHAnsi" w:cs="Bookman Old Style"/>
          <w:lang w:val="it-IT"/>
        </w:rPr>
        <w:t xml:space="preserve"> </w:t>
      </w:r>
    </w:p>
    <w:p w:rsidR="00C8212F" w:rsidRPr="009D5E5E" w:rsidRDefault="00C8212F" w:rsidP="00C8212F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Per l’accesso alla valutazione finale di ogni studente è richiesta la frequenza di almeno tre quarti dell’orario annuale personalizzato.</w:t>
      </w:r>
    </w:p>
    <w:p w:rsidR="00C8212F" w:rsidRDefault="00C8212F" w:rsidP="00C8212F">
      <w:pPr>
        <w:jc w:val="both"/>
        <w:rPr>
          <w:rFonts w:asciiTheme="majorHAnsi" w:hAnsiTheme="majorHAnsi" w:cs="Bookman Old Style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Il limite massimo di ore di assenza concesse, nel quadro orario annuale personalizzato, ai fini della validità dell’anno scolastico, è fissato, per ogni classe e per ogni disciplina, secondo le seguenti tabelle:</w:t>
      </w:r>
    </w:p>
    <w:p w:rsidR="0034313F" w:rsidRDefault="0034313F" w:rsidP="0034313F">
      <w:pPr>
        <w:jc w:val="both"/>
        <w:rPr>
          <w:rFonts w:asciiTheme="majorHAnsi" w:hAnsiTheme="majorHAnsi"/>
          <w:lang w:val="it-IT"/>
        </w:rPr>
      </w:pPr>
    </w:p>
    <w:p w:rsidR="006755EF" w:rsidRDefault="006755EF" w:rsidP="0034313F">
      <w:pPr>
        <w:jc w:val="both"/>
        <w:rPr>
          <w:rFonts w:asciiTheme="majorHAnsi" w:hAnsiTheme="majorHAnsi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2694"/>
        <w:gridCol w:w="1417"/>
        <w:gridCol w:w="1150"/>
      </w:tblGrid>
      <w:tr w:rsidR="006755EF" w:rsidRPr="0074530C" w:rsidTr="006407D7">
        <w:tc>
          <w:tcPr>
            <w:tcW w:w="2943" w:type="dxa"/>
          </w:tcPr>
          <w:p w:rsidR="006755EF" w:rsidRPr="0074530C" w:rsidRDefault="006755EF" w:rsidP="006755EF">
            <w:pPr>
              <w:autoSpaceDE w:val="0"/>
              <w:autoSpaceDN w:val="0"/>
              <w:adjustRightInd w:val="0"/>
              <w:rPr>
                <w:rFonts w:ascii="CIDFont+F5" w:eastAsiaTheme="minorHAnsi" w:hAnsi="CIDFont+F5" w:cs="CIDFont+F5"/>
                <w:lang w:eastAsia="en-US"/>
              </w:rPr>
            </w:pPr>
            <w:r w:rsidRPr="0074530C">
              <w:rPr>
                <w:rFonts w:ascii="CIDFont+F5" w:eastAsiaTheme="minorHAnsi" w:hAnsi="CIDFont+F5" w:cs="CIDFont+F5"/>
                <w:lang w:val="it-IT" w:eastAsia="en-US"/>
              </w:rPr>
              <w:t xml:space="preserve">CLASSI </w:t>
            </w:r>
          </w:p>
        </w:tc>
        <w:tc>
          <w:tcPr>
            <w:tcW w:w="2694" w:type="dxa"/>
          </w:tcPr>
          <w:p w:rsidR="006755EF" w:rsidRPr="0074530C" w:rsidRDefault="006755EF" w:rsidP="006755EF">
            <w:pPr>
              <w:autoSpaceDE w:val="0"/>
              <w:autoSpaceDN w:val="0"/>
              <w:adjustRightInd w:val="0"/>
              <w:rPr>
                <w:rFonts w:ascii="CIDFont+F5" w:eastAsiaTheme="minorHAnsi" w:hAnsi="CIDFont+F5" w:cs="CIDFont+F5"/>
                <w:lang w:eastAsia="en-US"/>
              </w:rPr>
            </w:pPr>
            <w:r w:rsidRPr="0074530C">
              <w:rPr>
                <w:rFonts w:ascii="CIDFont+F5" w:eastAsiaTheme="minorHAnsi" w:hAnsi="CIDFont+F5" w:cs="CIDFont+F5"/>
                <w:lang w:val="it-IT" w:eastAsia="en-US"/>
              </w:rPr>
              <w:t xml:space="preserve">INDIRIZZO </w:t>
            </w:r>
          </w:p>
        </w:tc>
        <w:tc>
          <w:tcPr>
            <w:tcW w:w="1417" w:type="dxa"/>
          </w:tcPr>
          <w:p w:rsidR="006755EF" w:rsidRPr="0074530C" w:rsidRDefault="006755EF" w:rsidP="006755EF">
            <w:pPr>
              <w:autoSpaceDE w:val="0"/>
              <w:autoSpaceDN w:val="0"/>
              <w:adjustRightInd w:val="0"/>
              <w:rPr>
                <w:rFonts w:ascii="CIDFont+F5" w:eastAsiaTheme="minorHAnsi" w:hAnsi="CIDFont+F5" w:cs="CIDFont+F5"/>
                <w:lang w:val="it-IT" w:eastAsia="en-US"/>
              </w:rPr>
            </w:pPr>
            <w:r w:rsidRPr="0074530C">
              <w:rPr>
                <w:rFonts w:ascii="CIDFont+F5" w:eastAsiaTheme="minorHAnsi" w:hAnsi="CIDFont+F5" w:cs="CIDFont+F5"/>
                <w:lang w:val="it-IT" w:eastAsia="en-US"/>
              </w:rPr>
              <w:t xml:space="preserve">N. ORE ANNUE </w:t>
            </w:r>
          </w:p>
        </w:tc>
        <w:tc>
          <w:tcPr>
            <w:tcW w:w="1150" w:type="dxa"/>
          </w:tcPr>
          <w:p w:rsidR="006755EF" w:rsidRPr="0074530C" w:rsidRDefault="006755EF" w:rsidP="009C5551">
            <w:r w:rsidRPr="0074530C">
              <w:rPr>
                <w:rFonts w:ascii="CIDFont+F5" w:eastAsiaTheme="minorHAnsi" w:hAnsi="CIDFont+F5" w:cs="CIDFont+F5"/>
                <w:lang w:val="it-IT" w:eastAsia="en-US"/>
              </w:rPr>
              <w:t>LIMITE MAX ORE ASSENZA</w:t>
            </w:r>
          </w:p>
        </w:tc>
      </w:tr>
      <w:tr w:rsidR="006755EF" w:rsidRPr="0074530C" w:rsidTr="006407D7">
        <w:tc>
          <w:tcPr>
            <w:tcW w:w="2943" w:type="dxa"/>
          </w:tcPr>
          <w:p w:rsidR="006755EF" w:rsidRPr="0074530C" w:rsidRDefault="006755EF" w:rsidP="006755EF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Tutte le classi 264</w:t>
            </w:r>
          </w:p>
        </w:tc>
        <w:tc>
          <w:tcPr>
            <w:tcW w:w="2694" w:type="dxa"/>
          </w:tcPr>
          <w:p w:rsidR="006755EF" w:rsidRPr="0074530C" w:rsidRDefault="006755EF" w:rsidP="006755EF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Tecnico Economico e CAT </w:t>
            </w:r>
          </w:p>
        </w:tc>
        <w:tc>
          <w:tcPr>
            <w:tcW w:w="1417" w:type="dxa"/>
          </w:tcPr>
          <w:p w:rsidR="006755EF" w:rsidRPr="0074530C" w:rsidRDefault="006755EF" w:rsidP="006755EF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1056 </w:t>
            </w:r>
          </w:p>
        </w:tc>
        <w:tc>
          <w:tcPr>
            <w:tcW w:w="1150" w:type="dxa"/>
          </w:tcPr>
          <w:p w:rsidR="006755EF" w:rsidRPr="0074530C" w:rsidRDefault="006755EF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264</w:t>
            </w:r>
          </w:p>
        </w:tc>
      </w:tr>
      <w:tr w:rsidR="006755EF" w:rsidRPr="0074530C" w:rsidTr="006407D7">
        <w:tc>
          <w:tcPr>
            <w:tcW w:w="2943" w:type="dxa"/>
          </w:tcPr>
          <w:p w:rsidR="006755EF" w:rsidRPr="0074530C" w:rsidRDefault="006755EF" w:rsidP="006755EF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Classi prime e seconde </w:t>
            </w:r>
          </w:p>
        </w:tc>
        <w:tc>
          <w:tcPr>
            <w:tcW w:w="2694" w:type="dxa"/>
          </w:tcPr>
          <w:p w:rsidR="006755EF" w:rsidRPr="0074530C" w:rsidRDefault="006755EF" w:rsidP="006755EF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Liceo Classico e Linguistico </w:t>
            </w:r>
          </w:p>
        </w:tc>
        <w:tc>
          <w:tcPr>
            <w:tcW w:w="1417" w:type="dxa"/>
          </w:tcPr>
          <w:p w:rsidR="006755EF" w:rsidRPr="0074530C" w:rsidRDefault="006755EF" w:rsidP="006755EF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891 </w:t>
            </w:r>
          </w:p>
        </w:tc>
        <w:tc>
          <w:tcPr>
            <w:tcW w:w="1150" w:type="dxa"/>
          </w:tcPr>
          <w:p w:rsidR="006755EF" w:rsidRPr="0074530C" w:rsidRDefault="006755EF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223</w:t>
            </w:r>
          </w:p>
        </w:tc>
      </w:tr>
      <w:tr w:rsidR="007153E0" w:rsidRPr="0074530C" w:rsidTr="006407D7">
        <w:tc>
          <w:tcPr>
            <w:tcW w:w="2943" w:type="dxa"/>
          </w:tcPr>
          <w:p w:rsidR="007153E0" w:rsidRPr="0074530C" w:rsidRDefault="007153E0" w:rsidP="007153E0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Classi terze, quarte e quinte </w:t>
            </w:r>
          </w:p>
        </w:tc>
        <w:tc>
          <w:tcPr>
            <w:tcW w:w="2694" w:type="dxa"/>
          </w:tcPr>
          <w:p w:rsidR="007153E0" w:rsidRPr="0074530C" w:rsidRDefault="007153E0" w:rsidP="007153E0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Liceo Classico </w:t>
            </w:r>
          </w:p>
        </w:tc>
        <w:tc>
          <w:tcPr>
            <w:tcW w:w="1417" w:type="dxa"/>
          </w:tcPr>
          <w:p w:rsidR="007153E0" w:rsidRPr="0074530C" w:rsidRDefault="007153E0" w:rsidP="007153E0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1023 </w:t>
            </w:r>
          </w:p>
        </w:tc>
        <w:tc>
          <w:tcPr>
            <w:tcW w:w="1150" w:type="dxa"/>
          </w:tcPr>
          <w:p w:rsidR="007153E0" w:rsidRPr="0074530C" w:rsidRDefault="007153E0" w:rsidP="007153E0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256</w:t>
            </w:r>
          </w:p>
        </w:tc>
      </w:tr>
      <w:tr w:rsidR="00362535" w:rsidRPr="0074530C" w:rsidTr="006407D7">
        <w:tc>
          <w:tcPr>
            <w:tcW w:w="2943" w:type="dxa"/>
          </w:tcPr>
          <w:p w:rsidR="00362535" w:rsidRPr="0074530C" w:rsidRDefault="00362535" w:rsidP="00362535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Classi terze, quarte e quinte </w:t>
            </w:r>
          </w:p>
        </w:tc>
        <w:tc>
          <w:tcPr>
            <w:tcW w:w="2694" w:type="dxa"/>
          </w:tcPr>
          <w:p w:rsidR="00362535" w:rsidRPr="0074530C" w:rsidRDefault="00362535" w:rsidP="00362535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Liceo Linguistico </w:t>
            </w:r>
          </w:p>
        </w:tc>
        <w:tc>
          <w:tcPr>
            <w:tcW w:w="1417" w:type="dxa"/>
          </w:tcPr>
          <w:p w:rsidR="00362535" w:rsidRPr="0074530C" w:rsidRDefault="00362535" w:rsidP="00362535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990</w:t>
            </w:r>
          </w:p>
        </w:tc>
        <w:tc>
          <w:tcPr>
            <w:tcW w:w="1150" w:type="dxa"/>
          </w:tcPr>
          <w:p w:rsidR="00362535" w:rsidRPr="0074530C" w:rsidRDefault="00362535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248</w:t>
            </w:r>
          </w:p>
        </w:tc>
      </w:tr>
      <w:tr w:rsidR="00911889" w:rsidRPr="0074530C" w:rsidTr="006407D7">
        <w:tc>
          <w:tcPr>
            <w:tcW w:w="2943" w:type="dxa"/>
          </w:tcPr>
          <w:p w:rsidR="00911889" w:rsidRPr="0074530C" w:rsidRDefault="00911889" w:rsidP="00911889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Classe prima </w:t>
            </w:r>
          </w:p>
        </w:tc>
        <w:tc>
          <w:tcPr>
            <w:tcW w:w="2694" w:type="dxa"/>
          </w:tcPr>
          <w:p w:rsidR="00911889" w:rsidRPr="0074530C" w:rsidRDefault="00911889" w:rsidP="00911889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Corso per Adulti </w:t>
            </w:r>
          </w:p>
        </w:tc>
        <w:tc>
          <w:tcPr>
            <w:tcW w:w="1417" w:type="dxa"/>
          </w:tcPr>
          <w:p w:rsidR="00911889" w:rsidRPr="0074530C" w:rsidRDefault="00911889" w:rsidP="00911889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726</w:t>
            </w:r>
          </w:p>
        </w:tc>
        <w:tc>
          <w:tcPr>
            <w:tcW w:w="1150" w:type="dxa"/>
          </w:tcPr>
          <w:p w:rsidR="00911889" w:rsidRPr="0074530C" w:rsidRDefault="00911889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182</w:t>
            </w:r>
          </w:p>
        </w:tc>
      </w:tr>
      <w:tr w:rsidR="006407D7" w:rsidRPr="0074530C" w:rsidTr="006407D7">
        <w:tc>
          <w:tcPr>
            <w:tcW w:w="2943" w:type="dxa"/>
          </w:tcPr>
          <w:p w:rsidR="006407D7" w:rsidRPr="0074530C" w:rsidRDefault="006407D7" w:rsidP="006407D7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Classi seconde e terze </w:t>
            </w:r>
          </w:p>
        </w:tc>
        <w:tc>
          <w:tcPr>
            <w:tcW w:w="2694" w:type="dxa"/>
          </w:tcPr>
          <w:p w:rsidR="006407D7" w:rsidRPr="0074530C" w:rsidRDefault="006407D7" w:rsidP="006407D7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Corso per Adulti </w:t>
            </w:r>
          </w:p>
        </w:tc>
        <w:tc>
          <w:tcPr>
            <w:tcW w:w="1417" w:type="dxa"/>
          </w:tcPr>
          <w:p w:rsidR="006407D7" w:rsidRPr="0074530C" w:rsidRDefault="006407D7" w:rsidP="006407D7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759 </w:t>
            </w:r>
          </w:p>
        </w:tc>
        <w:tc>
          <w:tcPr>
            <w:tcW w:w="1150" w:type="dxa"/>
          </w:tcPr>
          <w:p w:rsidR="006407D7" w:rsidRPr="0074530C" w:rsidRDefault="006407D7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190</w:t>
            </w:r>
          </w:p>
        </w:tc>
      </w:tr>
      <w:tr w:rsidR="006407D7" w:rsidRPr="0074530C" w:rsidTr="006407D7">
        <w:tc>
          <w:tcPr>
            <w:tcW w:w="2943" w:type="dxa"/>
          </w:tcPr>
          <w:p w:rsidR="006407D7" w:rsidRPr="0074530C" w:rsidRDefault="006407D7" w:rsidP="006407D7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Classi quarte e quinte </w:t>
            </w:r>
          </w:p>
        </w:tc>
        <w:tc>
          <w:tcPr>
            <w:tcW w:w="2694" w:type="dxa"/>
          </w:tcPr>
          <w:p w:rsidR="006407D7" w:rsidRPr="0074530C" w:rsidRDefault="006407D7" w:rsidP="006407D7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Corso per adulti </w:t>
            </w:r>
          </w:p>
        </w:tc>
        <w:tc>
          <w:tcPr>
            <w:tcW w:w="1417" w:type="dxa"/>
          </w:tcPr>
          <w:p w:rsidR="006407D7" w:rsidRPr="0074530C" w:rsidRDefault="006407D7" w:rsidP="006407D7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 xml:space="preserve">726 </w:t>
            </w:r>
          </w:p>
        </w:tc>
        <w:tc>
          <w:tcPr>
            <w:tcW w:w="1150" w:type="dxa"/>
          </w:tcPr>
          <w:p w:rsidR="006407D7" w:rsidRPr="0074530C" w:rsidRDefault="006407D7">
            <w:pPr>
              <w:rPr>
                <w:lang w:val="it-IT"/>
              </w:rPr>
            </w:pPr>
            <w:r w:rsidRPr="0074530C">
              <w:rPr>
                <w:rFonts w:ascii="CIDFont+F4" w:eastAsiaTheme="minorHAnsi" w:hAnsi="CIDFont+F4" w:cs="CIDFont+F4"/>
                <w:lang w:val="it-IT" w:eastAsia="en-US"/>
              </w:rPr>
              <w:t>182</w:t>
            </w:r>
          </w:p>
        </w:tc>
      </w:tr>
    </w:tbl>
    <w:p w:rsidR="006755EF" w:rsidRDefault="006755EF" w:rsidP="0034313F">
      <w:pPr>
        <w:jc w:val="both"/>
        <w:rPr>
          <w:rFonts w:asciiTheme="majorHAnsi" w:hAnsiTheme="majorHAnsi"/>
          <w:lang w:val="it-IT"/>
        </w:rPr>
      </w:pPr>
    </w:p>
    <w:p w:rsidR="006755EF" w:rsidRDefault="006755EF" w:rsidP="0034313F">
      <w:pPr>
        <w:jc w:val="both"/>
        <w:rPr>
          <w:rFonts w:asciiTheme="majorHAnsi" w:hAnsiTheme="majorHAnsi"/>
          <w:lang w:val="it-IT"/>
        </w:rPr>
      </w:pP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 xml:space="preserve">Art. 3 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Sono computate come ore di assenza secondo il numero delle ore giornaliere effettive: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</w:rPr>
      </w:pPr>
      <w:proofErr w:type="spellStart"/>
      <w:r w:rsidRPr="009D5E5E">
        <w:rPr>
          <w:rFonts w:asciiTheme="majorHAnsi" w:hAnsiTheme="majorHAnsi" w:cs="Bookman Old Style"/>
        </w:rPr>
        <w:t>entrate</w:t>
      </w:r>
      <w:proofErr w:type="spellEnd"/>
      <w:r w:rsidRPr="009D5E5E">
        <w:rPr>
          <w:rFonts w:asciiTheme="majorHAnsi" w:hAnsiTheme="majorHAnsi" w:cs="Bookman Old Style"/>
        </w:rPr>
        <w:t xml:space="preserve"> </w:t>
      </w:r>
      <w:proofErr w:type="spellStart"/>
      <w:r w:rsidRPr="009D5E5E">
        <w:rPr>
          <w:rFonts w:asciiTheme="majorHAnsi" w:hAnsiTheme="majorHAnsi" w:cs="Bookman Old Style"/>
        </w:rPr>
        <w:t>posticipate</w:t>
      </w:r>
      <w:proofErr w:type="spellEnd"/>
      <w:r w:rsidRPr="009D5E5E">
        <w:rPr>
          <w:rFonts w:asciiTheme="majorHAnsi" w:hAnsiTheme="majorHAnsi" w:cs="Bookman Old Style"/>
        </w:rPr>
        <w:t>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</w:rPr>
      </w:pPr>
      <w:proofErr w:type="spellStart"/>
      <w:r w:rsidRPr="009D5E5E">
        <w:rPr>
          <w:rFonts w:asciiTheme="majorHAnsi" w:hAnsiTheme="majorHAnsi" w:cs="Bookman Old Style"/>
        </w:rPr>
        <w:t>uscite</w:t>
      </w:r>
      <w:proofErr w:type="spellEnd"/>
      <w:r w:rsidRPr="009D5E5E">
        <w:rPr>
          <w:rFonts w:asciiTheme="majorHAnsi" w:hAnsiTheme="majorHAnsi" w:cs="Bookman Old Style"/>
        </w:rPr>
        <w:t xml:space="preserve"> anticipate;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 w:cs="Bookman Old Style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assenze per malattia inferiori a 5 giorni e non comprovati da certificazione medica;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</w:rPr>
      </w:pPr>
      <w:proofErr w:type="spellStart"/>
      <w:r w:rsidRPr="009D5E5E">
        <w:rPr>
          <w:rFonts w:asciiTheme="majorHAnsi" w:hAnsiTheme="majorHAnsi" w:cs="Bookman Old Style"/>
        </w:rPr>
        <w:t>assenze</w:t>
      </w:r>
      <w:proofErr w:type="spellEnd"/>
      <w:r w:rsidRPr="009D5E5E">
        <w:rPr>
          <w:rFonts w:asciiTheme="majorHAnsi" w:hAnsiTheme="majorHAnsi" w:cs="Bookman Old Style"/>
        </w:rPr>
        <w:t xml:space="preserve"> per </w:t>
      </w:r>
      <w:proofErr w:type="spellStart"/>
      <w:r w:rsidRPr="009D5E5E">
        <w:rPr>
          <w:rFonts w:asciiTheme="majorHAnsi" w:hAnsiTheme="majorHAnsi" w:cs="Bookman Old Style"/>
        </w:rPr>
        <w:t>motivi</w:t>
      </w:r>
      <w:proofErr w:type="spellEnd"/>
      <w:r w:rsidRPr="009D5E5E">
        <w:rPr>
          <w:rFonts w:asciiTheme="majorHAnsi" w:hAnsiTheme="majorHAnsi" w:cs="Bookman Old Style"/>
        </w:rPr>
        <w:t xml:space="preserve"> </w:t>
      </w:r>
      <w:proofErr w:type="spellStart"/>
      <w:r w:rsidRPr="009D5E5E">
        <w:rPr>
          <w:rFonts w:asciiTheme="majorHAnsi" w:hAnsiTheme="majorHAnsi" w:cs="Bookman Old Style"/>
        </w:rPr>
        <w:t>familiari</w:t>
      </w:r>
      <w:proofErr w:type="spellEnd"/>
      <w:r w:rsidRPr="009D5E5E">
        <w:rPr>
          <w:rFonts w:asciiTheme="majorHAnsi" w:hAnsiTheme="majorHAnsi" w:cs="Bookman Old Style"/>
        </w:rPr>
        <w:t>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 xml:space="preserve">astensione dalle lezioni (scioperi degli studenti) e dalle assemblee d’istituto; 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non frequenza in caso di non partecipazione a viaggi di istruzione o a visite guidate;</w:t>
      </w:r>
    </w:p>
    <w:p w:rsidR="00BE5A49" w:rsidRPr="009D5E5E" w:rsidRDefault="00BE5A49" w:rsidP="00BE5A49">
      <w:pPr>
        <w:numPr>
          <w:ilvl w:val="0"/>
          <w:numId w:val="4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non partecipazione alle attività organizzate in ore curricolari.</w:t>
      </w:r>
    </w:p>
    <w:p w:rsidR="00BE5A49" w:rsidRPr="009D5E5E" w:rsidRDefault="00BE5A49" w:rsidP="00BE5A49">
      <w:pPr>
        <w:jc w:val="both"/>
        <w:rPr>
          <w:rFonts w:asciiTheme="majorHAnsi" w:hAnsiTheme="majorHAnsi" w:cs="Bookman Old Style"/>
          <w:b/>
          <w:lang w:val="it-IT"/>
        </w:rPr>
      </w:pP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4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Non sono computate come ore di assenza:</w:t>
      </w:r>
    </w:p>
    <w:p w:rsidR="00BE5A49" w:rsidRPr="009D5E5E" w:rsidRDefault="00BE5A49" w:rsidP="00BE5A49">
      <w:pPr>
        <w:numPr>
          <w:ilvl w:val="0"/>
          <w:numId w:val="3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lastRenderedPageBreak/>
        <w:t xml:space="preserve">la partecipazione ad attività organizzate dalla scuola (campionati studenteschi, progetti didattici inseriti nel </w:t>
      </w:r>
      <w:proofErr w:type="spellStart"/>
      <w:r w:rsidRPr="009D5E5E">
        <w:rPr>
          <w:rFonts w:asciiTheme="majorHAnsi" w:hAnsiTheme="majorHAnsi" w:cs="Bookman Old Style"/>
          <w:lang w:val="it-IT"/>
        </w:rPr>
        <w:t>P.O.F.</w:t>
      </w:r>
      <w:proofErr w:type="spellEnd"/>
      <w:r w:rsidRPr="009D5E5E">
        <w:rPr>
          <w:rFonts w:asciiTheme="majorHAnsi" w:hAnsiTheme="majorHAnsi" w:cs="Bookman Old Style"/>
          <w:lang w:val="it-IT"/>
        </w:rPr>
        <w:t xml:space="preserve"> e/o approvati dal consiglio di classe, attività di orientamento rivolte agli alunni della scuola media);</w:t>
      </w:r>
    </w:p>
    <w:p w:rsidR="00BE5A49" w:rsidRPr="009D5E5E" w:rsidRDefault="00BE5A49" w:rsidP="00BE5A49">
      <w:pPr>
        <w:numPr>
          <w:ilvl w:val="0"/>
          <w:numId w:val="3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la partecipazione ad attività di orientamento universitario (classi quinte) con certificato di presenza;</w:t>
      </w:r>
    </w:p>
    <w:p w:rsidR="00BE5A49" w:rsidRPr="009D5E5E" w:rsidRDefault="00BE5A49" w:rsidP="00BE5A49">
      <w:pPr>
        <w:numPr>
          <w:ilvl w:val="0"/>
          <w:numId w:val="3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la partecipazione ad esami di certificazione esterna o concorsi (</w:t>
      </w:r>
      <w:proofErr w:type="spellStart"/>
      <w:r w:rsidRPr="009D5E5E">
        <w:rPr>
          <w:rFonts w:asciiTheme="majorHAnsi" w:hAnsiTheme="majorHAnsi" w:cs="Bookman Old Style"/>
          <w:lang w:val="it-IT"/>
        </w:rPr>
        <w:t>Trinity</w:t>
      </w:r>
      <w:proofErr w:type="spellEnd"/>
      <w:r w:rsidRPr="009D5E5E">
        <w:rPr>
          <w:rFonts w:asciiTheme="majorHAnsi" w:hAnsiTheme="majorHAnsi" w:cs="Bookman Old Style"/>
          <w:lang w:val="it-IT"/>
        </w:rPr>
        <w:t xml:space="preserve">, Cambridge, </w:t>
      </w:r>
      <w:proofErr w:type="spellStart"/>
      <w:r w:rsidRPr="009D5E5E">
        <w:rPr>
          <w:rFonts w:asciiTheme="majorHAnsi" w:hAnsiTheme="majorHAnsi" w:cs="Bookman Old Style"/>
          <w:i/>
          <w:lang w:val="it-IT"/>
        </w:rPr>
        <w:t>certamina</w:t>
      </w:r>
      <w:proofErr w:type="spellEnd"/>
      <w:r w:rsidRPr="009D5E5E">
        <w:rPr>
          <w:rFonts w:asciiTheme="majorHAnsi" w:hAnsiTheme="majorHAnsi" w:cs="Bookman Old Style"/>
          <w:lang w:val="it-IT"/>
        </w:rPr>
        <w:t>, agoni,  ecc..);</w:t>
      </w:r>
    </w:p>
    <w:p w:rsidR="00BE5A49" w:rsidRPr="009D5E5E" w:rsidRDefault="00BE5A49" w:rsidP="00BE5A49">
      <w:pPr>
        <w:numPr>
          <w:ilvl w:val="0"/>
          <w:numId w:val="3"/>
        </w:num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le entrate posticipate e le uscite anticipate disposte dall’istituzione scolastica per motivi organizzativi.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5</w:t>
      </w:r>
    </w:p>
    <w:p w:rsidR="00A856CF" w:rsidRPr="0074530C" w:rsidRDefault="00BE5A49" w:rsidP="00A856CF">
      <w:p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Sulla base di quanto disposto nell’art. 14, comma 7 del DPR 122/2009</w:t>
      </w:r>
      <w:r w:rsidRPr="0074530C">
        <w:rPr>
          <w:rFonts w:asciiTheme="majorHAnsi" w:hAnsiTheme="majorHAnsi" w:cs="Bookman Old Style"/>
          <w:lang w:val="it-IT"/>
        </w:rPr>
        <w:t xml:space="preserve">, </w:t>
      </w:r>
      <w:r w:rsidR="007A2354" w:rsidRPr="0074530C">
        <w:rPr>
          <w:rFonts w:ascii="CIDFont+F4" w:eastAsiaTheme="minorHAnsi" w:hAnsi="CIDFont+F4" w:cs="CIDFont+F4"/>
          <w:lang w:val="it-IT" w:eastAsia="en-US"/>
        </w:rPr>
        <w:t>I</w:t>
      </w:r>
      <w:r w:rsidR="00A856CF" w:rsidRPr="0074530C">
        <w:rPr>
          <w:rFonts w:ascii="CIDFont+F4" w:eastAsiaTheme="minorHAnsi" w:hAnsi="CIDFont+F4" w:cs="CIDFont+F4"/>
          <w:lang w:val="it-IT" w:eastAsia="en-US"/>
        </w:rPr>
        <w:t xml:space="preserve">l </w:t>
      </w:r>
      <w:r w:rsidR="00A856CF" w:rsidRPr="0074530C">
        <w:rPr>
          <w:rFonts w:asciiTheme="majorHAnsi" w:hAnsiTheme="majorHAnsi" w:cs="Bookman Old Style"/>
          <w:lang w:val="it-IT"/>
        </w:rPr>
        <w:t>Collegio dei Docenti, tra le deroghe suggerite dal MIM, ha considerato valide le assenze per:</w:t>
      </w:r>
    </w:p>
    <w:p w:rsidR="009F0D75" w:rsidRPr="0074530C" w:rsidRDefault="00A856CF" w:rsidP="009F0D7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74530C">
        <w:rPr>
          <w:rFonts w:asciiTheme="majorHAnsi" w:hAnsiTheme="majorHAnsi" w:cs="Bookman Old Style"/>
          <w:lang w:val="it-IT"/>
        </w:rPr>
        <w:t>presenza di patologie gravi e ricorrenti accertate (gravi motivi di salute adeguatamente</w:t>
      </w:r>
      <w:r w:rsidR="009F0D75" w:rsidRPr="0074530C">
        <w:rPr>
          <w:rFonts w:asciiTheme="majorHAnsi" w:hAnsiTheme="majorHAnsi" w:cs="Bookman Old Style"/>
          <w:lang w:val="it-IT"/>
        </w:rPr>
        <w:t xml:space="preserve"> documentati;</w:t>
      </w:r>
    </w:p>
    <w:p w:rsidR="009F0D75" w:rsidRPr="0074530C" w:rsidRDefault="00A856CF" w:rsidP="009F0D7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74530C">
        <w:rPr>
          <w:rFonts w:asciiTheme="majorHAnsi" w:hAnsiTheme="majorHAnsi" w:cs="Bookman Old Style"/>
          <w:lang w:val="it-IT"/>
        </w:rPr>
        <w:t>terapie e/o cure programmate – donazioni di sangue</w:t>
      </w:r>
      <w:r w:rsidR="009F0D75" w:rsidRPr="0074530C">
        <w:rPr>
          <w:rFonts w:asciiTheme="majorHAnsi" w:hAnsiTheme="majorHAnsi" w:cs="Bookman Old Style"/>
          <w:lang w:val="it-IT"/>
        </w:rPr>
        <w:t>;</w:t>
      </w:r>
    </w:p>
    <w:p w:rsidR="00A856CF" w:rsidRPr="0074530C" w:rsidRDefault="00A856CF" w:rsidP="009F0D7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74530C">
        <w:rPr>
          <w:rFonts w:asciiTheme="majorHAnsi" w:hAnsiTheme="majorHAnsi" w:cs="Bookman Old Style"/>
          <w:lang w:val="it-IT"/>
        </w:rPr>
        <w:t>partecipazione ad attività sportive organizzate da federazioni riconosciute dal C.O.N.I.</w:t>
      </w:r>
      <w:r w:rsidR="009F0D75" w:rsidRPr="0074530C">
        <w:rPr>
          <w:rFonts w:asciiTheme="majorHAnsi" w:hAnsiTheme="majorHAnsi" w:cs="Bookman Old Style"/>
          <w:lang w:val="it-IT"/>
        </w:rPr>
        <w:t>;</w:t>
      </w:r>
    </w:p>
    <w:p w:rsidR="00A856CF" w:rsidRPr="0074530C" w:rsidRDefault="00A856CF" w:rsidP="009F0D7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74530C">
        <w:rPr>
          <w:rFonts w:asciiTheme="majorHAnsi" w:hAnsiTheme="majorHAnsi" w:cs="Bookman Old Style"/>
          <w:lang w:val="it-IT"/>
        </w:rPr>
        <w:t>motivi di carattere familiare certificati e verificati</w:t>
      </w:r>
      <w:r w:rsidR="009F0D75" w:rsidRPr="0074530C">
        <w:rPr>
          <w:rFonts w:asciiTheme="majorHAnsi" w:hAnsiTheme="majorHAnsi" w:cs="Bookman Old Style"/>
          <w:lang w:val="it-IT"/>
        </w:rPr>
        <w:t>;</w:t>
      </w:r>
    </w:p>
    <w:p w:rsidR="009F0D75" w:rsidRPr="0074530C" w:rsidRDefault="00A856CF" w:rsidP="009F0D7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74530C">
        <w:rPr>
          <w:rFonts w:asciiTheme="majorHAnsi" w:hAnsiTheme="majorHAnsi" w:cs="Bookman Old Style"/>
          <w:lang w:val="it-IT"/>
        </w:rPr>
        <w:t>questioni di carattere personale collegate a studi all’estero o altro</w:t>
      </w:r>
      <w:r w:rsidR="009F0D75" w:rsidRPr="0074530C">
        <w:rPr>
          <w:rFonts w:asciiTheme="majorHAnsi" w:hAnsiTheme="majorHAnsi" w:cs="Bookman Old Style"/>
          <w:lang w:val="it-IT"/>
        </w:rPr>
        <w:t xml:space="preserve"> </w:t>
      </w:r>
      <w:r w:rsidRPr="0074530C">
        <w:rPr>
          <w:rFonts w:asciiTheme="majorHAnsi" w:hAnsiTheme="majorHAnsi" w:cs="Bookman Old Style"/>
          <w:lang w:val="it-IT"/>
        </w:rPr>
        <w:t>ogni altra evenienza individuata dalla normativa di settore</w:t>
      </w:r>
      <w:r w:rsidR="009F0D75" w:rsidRPr="0074530C">
        <w:rPr>
          <w:rFonts w:asciiTheme="majorHAnsi" w:hAnsiTheme="majorHAnsi" w:cs="Bookman Old Style"/>
          <w:lang w:val="it-IT"/>
        </w:rPr>
        <w:t>;</w:t>
      </w:r>
    </w:p>
    <w:p w:rsidR="00A856CF" w:rsidRPr="0074530C" w:rsidRDefault="00A856CF" w:rsidP="009F0D7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74530C">
        <w:rPr>
          <w:rFonts w:asciiTheme="majorHAnsi" w:hAnsiTheme="majorHAnsi" w:cs="Bookman Old Style"/>
          <w:lang w:val="it-IT"/>
        </w:rPr>
        <w:t>comprovate esigenze lavorative (</w:t>
      </w:r>
      <w:r w:rsidR="009F0D75" w:rsidRPr="0074530C">
        <w:rPr>
          <w:rFonts w:asciiTheme="majorHAnsi" w:hAnsiTheme="majorHAnsi" w:cs="Bookman Old Style"/>
          <w:lang w:val="it-IT"/>
        </w:rPr>
        <w:t>solo per gli alunni del serale);</w:t>
      </w:r>
    </w:p>
    <w:p w:rsidR="00A856CF" w:rsidRPr="0074530C" w:rsidRDefault="00A856CF" w:rsidP="009F0D7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74530C">
        <w:rPr>
          <w:rFonts w:asciiTheme="majorHAnsi" w:hAnsiTheme="majorHAnsi" w:cs="Bookman Old Style"/>
          <w:lang w:val="it-IT"/>
        </w:rPr>
        <w:t>deroga al 25% delle assenze degli studenti diversamente abili all’inizio dell’</w:t>
      </w:r>
      <w:r w:rsidR="009F0D75" w:rsidRPr="0074530C">
        <w:rPr>
          <w:rFonts w:asciiTheme="majorHAnsi" w:hAnsiTheme="majorHAnsi" w:cs="Bookman Old Style"/>
          <w:lang w:val="it-IT"/>
        </w:rPr>
        <w:t xml:space="preserve">orario scolastico </w:t>
      </w:r>
      <w:r w:rsidRPr="0074530C">
        <w:rPr>
          <w:rFonts w:asciiTheme="majorHAnsi" w:hAnsiTheme="majorHAnsi" w:cs="Bookman Old Style"/>
          <w:lang w:val="it-IT"/>
        </w:rPr>
        <w:t>giornaliero o alla fine, se richiesto espressamente dalla famiglia.</w:t>
      </w:r>
    </w:p>
    <w:p w:rsidR="00A856CF" w:rsidRPr="0074530C" w:rsidRDefault="00A856CF" w:rsidP="00BE5A49">
      <w:pPr>
        <w:jc w:val="both"/>
        <w:rPr>
          <w:rFonts w:asciiTheme="majorHAnsi" w:hAnsiTheme="majorHAnsi"/>
          <w:lang w:val="it-IT"/>
        </w:rPr>
      </w:pP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Tali deroghe sono concesse a condizione, comunque, che tali assenze non pregiudichino, a giudizio del Consiglio di Classe, la possibilità di procedere alla valutazione degli alunni interessati. Il Consiglio di Classe determina nel merito con delibera specifica e con motivazioni documentate.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>Possono essere considerate assenze derogabili la partecipazione a campionati sportivi o la frequenza del Conservatorio, in quanto attività valutabili come credito formativo.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b/>
          <w:lang w:val="it-IT"/>
        </w:rPr>
        <w:t>Art. 6</w:t>
      </w:r>
      <w:r w:rsidRPr="009D5E5E">
        <w:rPr>
          <w:rFonts w:asciiTheme="majorHAnsi" w:hAnsiTheme="majorHAnsi" w:cs="Bookman Old Style"/>
          <w:lang w:val="it-IT"/>
        </w:rPr>
        <w:t xml:space="preserve"> </w:t>
      </w:r>
    </w:p>
    <w:p w:rsidR="00BE5A49" w:rsidRPr="009D5E5E" w:rsidRDefault="00BE5A49" w:rsidP="00BE5A49">
      <w:pPr>
        <w:jc w:val="both"/>
        <w:rPr>
          <w:rFonts w:asciiTheme="majorHAnsi" w:hAnsiTheme="majorHAnsi"/>
          <w:lang w:val="it-IT"/>
        </w:rPr>
      </w:pPr>
      <w:r w:rsidRPr="009D5E5E">
        <w:rPr>
          <w:rFonts w:asciiTheme="majorHAnsi" w:hAnsiTheme="majorHAnsi" w:cs="Bookman Old Style"/>
          <w:lang w:val="it-IT"/>
        </w:rPr>
        <w:t xml:space="preserve">Il mancato conseguimento, tenuto conto delle deroghe riconosciute, della quota di almeno tre quarti dell’orario annuale personalizzato comporta la non validità dell’anno scolastico, la conseguente esclusione dallo scrutinio finale e la non ammissione alla classe successiva o all’esame finale. </w:t>
      </w:r>
    </w:p>
    <w:p w:rsidR="00835DEF" w:rsidRPr="0074530C" w:rsidRDefault="00835DEF" w:rsidP="00835DEF">
      <w:p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74530C">
        <w:rPr>
          <w:rFonts w:asciiTheme="majorHAnsi" w:hAnsiTheme="majorHAnsi" w:cs="Bookman Old Style"/>
          <w:lang w:val="it-IT"/>
        </w:rPr>
        <w:t>Art.7 Tutte le assenze continuative, riferite alle motivazioni indicate, dovranno essere documentate</w:t>
      </w:r>
    </w:p>
    <w:p w:rsidR="00F1246B" w:rsidRPr="0074530C" w:rsidRDefault="00835DEF" w:rsidP="00835DEF">
      <w:pPr>
        <w:suppressAutoHyphens w:val="0"/>
        <w:autoSpaceDE w:val="0"/>
        <w:autoSpaceDN w:val="0"/>
        <w:adjustRightInd w:val="0"/>
        <w:rPr>
          <w:rFonts w:asciiTheme="majorHAnsi" w:hAnsiTheme="majorHAnsi" w:cs="Bookman Old Style"/>
          <w:lang w:val="it-IT"/>
        </w:rPr>
      </w:pPr>
      <w:r w:rsidRPr="0074530C">
        <w:rPr>
          <w:rFonts w:asciiTheme="majorHAnsi" w:hAnsiTheme="majorHAnsi" w:cs="Bookman Old Style"/>
          <w:lang w:val="it-IT"/>
        </w:rPr>
        <w:t>al momento del rientro nella comunità scolastica e non al termine dell’anno scolastico.</w:t>
      </w:r>
    </w:p>
    <w:p w:rsidR="00835DEF" w:rsidRDefault="00835DEF" w:rsidP="00F1246B">
      <w:pPr>
        <w:spacing w:before="1"/>
        <w:ind w:left="112" w:right="120"/>
        <w:jc w:val="both"/>
        <w:rPr>
          <w:rFonts w:asciiTheme="majorHAnsi" w:hAnsiTheme="majorHAnsi" w:cs="Bookman Old Style"/>
          <w:color w:val="FF0000"/>
          <w:lang w:val="it-IT"/>
        </w:rPr>
      </w:pPr>
    </w:p>
    <w:p w:rsidR="0074530C" w:rsidRPr="0074530C" w:rsidRDefault="00A856CF" w:rsidP="0074530C">
      <w:pPr>
        <w:pStyle w:val="Standard"/>
        <w:ind w:left="113" w:right="280"/>
        <w:jc w:val="both"/>
        <w:rPr>
          <w:rFonts w:ascii="Cambria" w:hAnsi="Cambria"/>
          <w:sz w:val="20"/>
          <w:szCs w:val="20"/>
        </w:rPr>
      </w:pPr>
      <w:r w:rsidRPr="0074530C">
        <w:rPr>
          <w:rFonts w:ascii="Cambria" w:hAnsi="Cambria"/>
          <w:sz w:val="20"/>
          <w:szCs w:val="20"/>
        </w:rPr>
        <w:t xml:space="preserve">AGGIORNATO SULLA BASE DELLE DISPOSIZIONI DEL </w:t>
      </w:r>
      <w:r w:rsidR="00F1246B" w:rsidRPr="0074530C">
        <w:rPr>
          <w:rFonts w:ascii="Cambria" w:hAnsi="Cambria"/>
          <w:sz w:val="20"/>
          <w:szCs w:val="20"/>
        </w:rPr>
        <w:t xml:space="preserve">COLLEGIO DEI DOCENTI </w:t>
      </w:r>
      <w:r w:rsidRPr="0074530C">
        <w:rPr>
          <w:rFonts w:ascii="CIDFont+F4" w:eastAsiaTheme="minorHAnsi" w:hAnsi="CIDFont+F4" w:cs="CIDFont+F4"/>
          <w:sz w:val="20"/>
          <w:szCs w:val="20"/>
          <w:lang w:eastAsia="en-US"/>
        </w:rPr>
        <w:t xml:space="preserve">19/09/2023 </w:t>
      </w:r>
      <w:r w:rsidR="0074530C" w:rsidRPr="0074530C">
        <w:rPr>
          <w:rFonts w:ascii="Calibri" w:hAnsi="Calibri" w:cs="Calibri"/>
          <w:sz w:val="20"/>
          <w:szCs w:val="20"/>
        </w:rPr>
        <w:t xml:space="preserve">CON DELIBERA </w:t>
      </w:r>
      <w:proofErr w:type="spellStart"/>
      <w:r w:rsidR="0074530C" w:rsidRPr="0074530C">
        <w:rPr>
          <w:rFonts w:ascii="Calibri" w:hAnsi="Calibri" w:cs="Calibri"/>
          <w:sz w:val="20"/>
          <w:szCs w:val="20"/>
        </w:rPr>
        <w:t>N°</w:t>
      </w:r>
      <w:proofErr w:type="spellEnd"/>
      <w:r w:rsidR="0074530C" w:rsidRPr="0074530C">
        <w:rPr>
          <w:rFonts w:ascii="Calibri" w:hAnsi="Calibri" w:cs="Calibri"/>
          <w:sz w:val="20"/>
          <w:szCs w:val="20"/>
        </w:rPr>
        <w:t xml:space="preserve"> 38   DEL CONSIGLIO </w:t>
      </w:r>
      <w:proofErr w:type="spellStart"/>
      <w:r w:rsidR="0074530C" w:rsidRPr="0074530C">
        <w:rPr>
          <w:rFonts w:ascii="Calibri" w:hAnsi="Calibri" w:cs="Calibri"/>
          <w:sz w:val="20"/>
          <w:szCs w:val="20"/>
        </w:rPr>
        <w:t>DI</w:t>
      </w:r>
      <w:proofErr w:type="spellEnd"/>
      <w:r w:rsidR="0074530C" w:rsidRPr="0074530C">
        <w:rPr>
          <w:rFonts w:ascii="Calibri" w:hAnsi="Calibri" w:cs="Calibri"/>
          <w:sz w:val="20"/>
          <w:szCs w:val="20"/>
        </w:rPr>
        <w:t xml:space="preserve"> ISTITUTO  DEL  31/10/2023</w:t>
      </w:r>
    </w:p>
    <w:p w:rsidR="0074530C" w:rsidRPr="0074530C" w:rsidRDefault="0074530C" w:rsidP="0074530C">
      <w:pPr>
        <w:pStyle w:val="Paragrafoelenco"/>
        <w:spacing w:after="120"/>
        <w:jc w:val="both"/>
        <w:rPr>
          <w:rFonts w:asciiTheme="minorHAnsi" w:hAnsiTheme="minorHAnsi" w:cstheme="minorHAnsi"/>
          <w:lang w:val="it-IT"/>
        </w:rPr>
      </w:pPr>
    </w:p>
    <w:p w:rsidR="00BE5A49" w:rsidRPr="00835DEF" w:rsidRDefault="00BE5A49" w:rsidP="00835DEF">
      <w:pPr>
        <w:spacing w:before="1"/>
        <w:ind w:left="112" w:right="120"/>
        <w:jc w:val="both"/>
        <w:rPr>
          <w:rFonts w:ascii="Cambria" w:hAnsi="Cambria"/>
          <w:lang w:val="it-IT"/>
        </w:rPr>
      </w:pPr>
    </w:p>
    <w:sectPr w:rsidR="00BE5A49" w:rsidRPr="00835DEF" w:rsidSect="00BB2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4D615739"/>
    <w:multiLevelType w:val="hybridMultilevel"/>
    <w:tmpl w:val="E6CE1D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C8212F"/>
    <w:rsid w:val="00001E4B"/>
    <w:rsid w:val="00175C51"/>
    <w:rsid w:val="0034313F"/>
    <w:rsid w:val="00362535"/>
    <w:rsid w:val="003B0827"/>
    <w:rsid w:val="003C315E"/>
    <w:rsid w:val="00504DB9"/>
    <w:rsid w:val="00586FB8"/>
    <w:rsid w:val="006407D7"/>
    <w:rsid w:val="006755EF"/>
    <w:rsid w:val="006F27F6"/>
    <w:rsid w:val="007153E0"/>
    <w:rsid w:val="0074530C"/>
    <w:rsid w:val="007A2354"/>
    <w:rsid w:val="007A28CA"/>
    <w:rsid w:val="008076BF"/>
    <w:rsid w:val="00835DEF"/>
    <w:rsid w:val="00876EAA"/>
    <w:rsid w:val="00882E41"/>
    <w:rsid w:val="00911889"/>
    <w:rsid w:val="009B6AA2"/>
    <w:rsid w:val="009D5E5E"/>
    <w:rsid w:val="009F0D75"/>
    <w:rsid w:val="00A76E7F"/>
    <w:rsid w:val="00A856CF"/>
    <w:rsid w:val="00BB2D2E"/>
    <w:rsid w:val="00BE5A49"/>
    <w:rsid w:val="00BF5EA1"/>
    <w:rsid w:val="00C3483C"/>
    <w:rsid w:val="00C75341"/>
    <w:rsid w:val="00C8212F"/>
    <w:rsid w:val="00C85AFD"/>
    <w:rsid w:val="00D54084"/>
    <w:rsid w:val="00DC78FC"/>
    <w:rsid w:val="00DF0270"/>
    <w:rsid w:val="00DF3834"/>
    <w:rsid w:val="00E573EA"/>
    <w:rsid w:val="00E80ECE"/>
    <w:rsid w:val="00EF32EF"/>
    <w:rsid w:val="00F1246B"/>
    <w:rsid w:val="00FA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1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8212F"/>
    <w:pPr>
      <w:widowControl w:val="0"/>
      <w:tabs>
        <w:tab w:val="left" w:pos="360"/>
      </w:tabs>
      <w:ind w:left="720"/>
      <w:contextualSpacing/>
      <w:jc w:val="both"/>
    </w:pPr>
    <w:rPr>
      <w:rFonts w:ascii="Comic Sans MS" w:hAnsi="Comic Sans MS" w:cs="Comic Sans MS"/>
      <w:kern w:val="1"/>
      <w:lang w:val="it-IT"/>
    </w:rPr>
  </w:style>
  <w:style w:type="paragraph" w:customStyle="1" w:styleId="Standard">
    <w:name w:val="Standard"/>
    <w:rsid w:val="00504DB9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755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A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AFD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dc:description/>
  <cp:lastModifiedBy>Gilda</cp:lastModifiedBy>
  <cp:revision>29</cp:revision>
  <dcterms:created xsi:type="dcterms:W3CDTF">2018-10-24T16:02:00Z</dcterms:created>
  <dcterms:modified xsi:type="dcterms:W3CDTF">2023-10-31T19:20:00Z</dcterms:modified>
</cp:coreProperties>
</file>