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27" w:rsidRDefault="003B0827" w:rsidP="003C315E">
      <w:pPr>
        <w:rPr>
          <w:rFonts w:asciiTheme="majorHAnsi" w:hAnsiTheme="majorHAnsi" w:cs="Bookman Old Style"/>
          <w:b/>
          <w:sz w:val="22"/>
          <w:szCs w:val="22"/>
          <w:lang w:val="it-IT"/>
        </w:rPr>
      </w:pPr>
    </w:p>
    <w:p w:rsidR="008076BF" w:rsidRDefault="008076BF" w:rsidP="008076BF">
      <w:pPr>
        <w:jc w:val="center"/>
        <w:rPr>
          <w:rFonts w:asciiTheme="majorHAnsi" w:hAnsiTheme="majorHAnsi" w:cs="Bookman Old Style"/>
          <w:b/>
          <w:lang w:val="it-IT"/>
        </w:rPr>
      </w:pPr>
      <w:r w:rsidRPr="00504DB9">
        <w:rPr>
          <w:rFonts w:ascii="Cambria" w:hAnsi="Cambria"/>
          <w:b/>
          <w:bCs/>
          <w:lang w:val="it-IT"/>
        </w:rPr>
        <w:t>(CORRELATO N.2)</w:t>
      </w:r>
    </w:p>
    <w:p w:rsidR="00504DB9" w:rsidRDefault="00504DB9" w:rsidP="00504DB9">
      <w:pPr>
        <w:pStyle w:val="Standard"/>
        <w:spacing w:before="59"/>
        <w:jc w:val="center"/>
      </w:pPr>
      <w:r>
        <w:rPr>
          <w:rFonts w:ascii="TimesNewRomanPSMT" w:hAnsi="TimesNewRomanPSMT"/>
          <w:b/>
          <w:color w:val="000000"/>
          <w:sz w:val="20"/>
          <w:szCs w:val="32"/>
        </w:rPr>
        <w:t>MINISTERO DELL’ISTRUZIONE DELL’UNIVERSITA’ E DELLA RICERCA</w:t>
      </w:r>
    </w:p>
    <w:p w:rsidR="00504DB9" w:rsidRPr="00504DB9" w:rsidRDefault="00504DB9" w:rsidP="00504DB9">
      <w:pPr>
        <w:autoSpaceDE w:val="0"/>
        <w:jc w:val="center"/>
        <w:rPr>
          <w:rFonts w:ascii="TimesNewRomanPS-BoldMT" w:hAnsi="TimesNewRomanPS-BoldMT"/>
          <w:b/>
          <w:color w:val="000000"/>
          <w:spacing w:val="10"/>
          <w:lang w:val="it-IT"/>
        </w:rPr>
      </w:pPr>
      <w:r w:rsidRPr="00504DB9">
        <w:rPr>
          <w:rFonts w:ascii="TimesNewRomanPS-BoldMT" w:hAnsi="TimesNewRomanPS-BoldMT"/>
          <w:b/>
          <w:color w:val="000000"/>
          <w:spacing w:val="10"/>
          <w:lang w:val="it-IT"/>
        </w:rPr>
        <w:t>ISTITUTO DI ISTRUZIONE SUPERIORE “GOBETTI – DE  LIBERO</w:t>
      </w:r>
    </w:p>
    <w:p w:rsidR="008076BF" w:rsidRDefault="008076BF" w:rsidP="00C8212F">
      <w:pPr>
        <w:jc w:val="center"/>
        <w:rPr>
          <w:rFonts w:asciiTheme="majorHAnsi" w:hAnsiTheme="majorHAnsi" w:cs="Bookman Old Style"/>
          <w:b/>
          <w:lang w:val="it-IT"/>
        </w:rPr>
      </w:pPr>
    </w:p>
    <w:p w:rsidR="00C8212F" w:rsidRPr="008076BF" w:rsidRDefault="00C8212F" w:rsidP="00C8212F">
      <w:pPr>
        <w:jc w:val="center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REGOLAMENTO APPLICATIVO DEL LIMITE DELLE ASSENZE</w:t>
      </w:r>
      <w:r w:rsidR="008076BF">
        <w:rPr>
          <w:rFonts w:asciiTheme="majorHAnsi" w:hAnsiTheme="majorHAnsi" w:cs="Bookman Old Style"/>
          <w:b/>
          <w:lang w:val="it-IT"/>
        </w:rPr>
        <w:t xml:space="preserve">  </w:t>
      </w:r>
    </w:p>
    <w:p w:rsidR="00C8212F" w:rsidRPr="009D5E5E" w:rsidRDefault="00C8212F" w:rsidP="00C8212F">
      <w:pPr>
        <w:jc w:val="center"/>
        <w:rPr>
          <w:rFonts w:asciiTheme="majorHAnsi" w:hAnsiTheme="majorHAnsi" w:cs="Bookman Old Style"/>
          <w:b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PER LA VALIDITÀ DELL'ANNO SCOLASTICO</w:t>
      </w: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Riferimenti legislativi</w:t>
      </w:r>
    </w:p>
    <w:p w:rsidR="00C8212F" w:rsidRPr="009D5E5E" w:rsidRDefault="00C8212F" w:rsidP="00C8212F">
      <w:pPr>
        <w:pStyle w:val="Paragrafoelenco1"/>
        <w:numPr>
          <w:ilvl w:val="0"/>
          <w:numId w:val="1"/>
        </w:numPr>
        <w:rPr>
          <w:rFonts w:asciiTheme="majorHAnsi" w:hAnsiTheme="majorHAnsi"/>
        </w:rPr>
      </w:pPr>
      <w:r w:rsidRPr="009D5E5E">
        <w:rPr>
          <w:rFonts w:asciiTheme="majorHAnsi" w:hAnsiTheme="majorHAnsi" w:cs="Bookman Old Style"/>
        </w:rPr>
        <w:t>Il D.P.R. n. 122 del 22 giugno 2009, art. 14 comma 7.</w:t>
      </w:r>
    </w:p>
    <w:p w:rsidR="00C8212F" w:rsidRPr="009D5E5E" w:rsidRDefault="00C8212F" w:rsidP="00C8212F">
      <w:pPr>
        <w:pStyle w:val="Paragrafoelenco1"/>
        <w:numPr>
          <w:ilvl w:val="0"/>
          <w:numId w:val="1"/>
        </w:numPr>
        <w:rPr>
          <w:rFonts w:asciiTheme="majorHAnsi" w:hAnsiTheme="majorHAnsi"/>
        </w:rPr>
      </w:pPr>
      <w:r w:rsidRPr="009D5E5E">
        <w:rPr>
          <w:rFonts w:asciiTheme="majorHAnsi" w:hAnsiTheme="majorHAnsi" w:cs="Bookman Old Style"/>
        </w:rPr>
        <w:t xml:space="preserve">Nota MIUR </w:t>
      </w:r>
      <w:proofErr w:type="spellStart"/>
      <w:r w:rsidRPr="009D5E5E">
        <w:rPr>
          <w:rFonts w:asciiTheme="majorHAnsi" w:hAnsiTheme="majorHAnsi" w:cs="Bookman Old Style"/>
        </w:rPr>
        <w:t>prot</w:t>
      </w:r>
      <w:proofErr w:type="spellEnd"/>
      <w:r w:rsidRPr="009D5E5E">
        <w:rPr>
          <w:rFonts w:asciiTheme="majorHAnsi" w:hAnsiTheme="majorHAnsi" w:cs="Bookman Old Style"/>
        </w:rPr>
        <w:t xml:space="preserve">. N. 7736 del </w:t>
      </w:r>
      <w:proofErr w:type="spellStart"/>
      <w:r w:rsidRPr="009D5E5E">
        <w:rPr>
          <w:rFonts w:asciiTheme="majorHAnsi" w:hAnsiTheme="majorHAnsi" w:cs="Bookman Old Style"/>
        </w:rPr>
        <w:t>del</w:t>
      </w:r>
      <w:proofErr w:type="spellEnd"/>
      <w:r w:rsidRPr="009D5E5E">
        <w:rPr>
          <w:rFonts w:asciiTheme="majorHAnsi" w:hAnsiTheme="majorHAnsi" w:cs="Bookman Old Style"/>
        </w:rPr>
        <w:t xml:space="preserve"> 27 ottobre 2010</w:t>
      </w:r>
    </w:p>
    <w:p w:rsidR="00C8212F" w:rsidRPr="009D5E5E" w:rsidRDefault="00C8212F" w:rsidP="00C8212F">
      <w:pPr>
        <w:pStyle w:val="Paragrafoelenco1"/>
        <w:numPr>
          <w:ilvl w:val="0"/>
          <w:numId w:val="1"/>
        </w:numPr>
        <w:rPr>
          <w:rFonts w:asciiTheme="majorHAnsi" w:hAnsiTheme="majorHAnsi"/>
        </w:rPr>
      </w:pPr>
      <w:r w:rsidRPr="009D5E5E">
        <w:rPr>
          <w:rFonts w:asciiTheme="majorHAnsi" w:hAnsiTheme="majorHAnsi" w:cs="Bookman Old Style"/>
          <w:bCs/>
        </w:rPr>
        <w:t xml:space="preserve">Circolare </w:t>
      </w:r>
      <w:proofErr w:type="spellStart"/>
      <w:r w:rsidRPr="009D5E5E">
        <w:rPr>
          <w:rFonts w:asciiTheme="majorHAnsi" w:hAnsiTheme="majorHAnsi" w:cs="Bookman Old Style"/>
          <w:bCs/>
        </w:rPr>
        <w:t>prot</w:t>
      </w:r>
      <w:proofErr w:type="spellEnd"/>
      <w:r w:rsidRPr="009D5E5E">
        <w:rPr>
          <w:rFonts w:asciiTheme="majorHAnsi" w:hAnsiTheme="majorHAnsi" w:cs="Bookman Old Style"/>
          <w:bCs/>
        </w:rPr>
        <w:t>. 1483 N. 20 del 4 marzo 2011</w:t>
      </w:r>
    </w:p>
    <w:p w:rsidR="00C8212F" w:rsidRPr="009D5E5E" w:rsidRDefault="00C8212F" w:rsidP="00C8212F">
      <w:pPr>
        <w:pStyle w:val="Paragrafoelenco1"/>
        <w:rPr>
          <w:rFonts w:asciiTheme="majorHAnsi" w:hAnsiTheme="majorHAnsi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 xml:space="preserve">In ragione dei riferimenti normativi citati, degli artt. 2 e 3 del </w:t>
      </w:r>
      <w:proofErr w:type="spellStart"/>
      <w:r w:rsidRPr="009D5E5E">
        <w:rPr>
          <w:rFonts w:asciiTheme="majorHAnsi" w:hAnsiTheme="majorHAnsi" w:cs="Bookman Old Style"/>
          <w:lang w:val="it-IT"/>
        </w:rPr>
        <w:t>DL</w:t>
      </w:r>
      <w:proofErr w:type="spellEnd"/>
      <w:r w:rsidRPr="009D5E5E">
        <w:rPr>
          <w:rFonts w:asciiTheme="majorHAnsi" w:hAnsiTheme="majorHAnsi" w:cs="Bookman Old Style"/>
          <w:lang w:val="it-IT"/>
        </w:rPr>
        <w:t xml:space="preserve"> 1/09/2008, n. 137, convertito con modificazioni dalla legge 30/10/2008, n. 169, il Collegio dei docenti ha deliberato il seguente regolamento in relazione alla materia in oggetto:</w:t>
      </w:r>
    </w:p>
    <w:p w:rsidR="00C8212F" w:rsidRPr="009D5E5E" w:rsidRDefault="00C8212F" w:rsidP="00C8212F">
      <w:pPr>
        <w:jc w:val="both"/>
        <w:rPr>
          <w:rFonts w:asciiTheme="majorHAnsi" w:hAnsiTheme="majorHAnsi" w:cs="Bookman Old Style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1</w:t>
      </w:r>
      <w:r w:rsidRPr="009D5E5E">
        <w:rPr>
          <w:rFonts w:asciiTheme="majorHAnsi" w:hAnsiTheme="majorHAnsi" w:cs="Bookman Old Style"/>
          <w:lang w:val="it-IT"/>
        </w:rPr>
        <w:t xml:space="preserve"> </w:t>
      </w: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Gli studenti, secondo quanto previsto dallo “Statuto delle studentesse e degli studenti”, sono tenuti a frequentare regolarmente i corsi e ad assolvere agli impegni di studio.</w:t>
      </w:r>
    </w:p>
    <w:p w:rsidR="00C8212F" w:rsidRPr="009D5E5E" w:rsidRDefault="00C8212F" w:rsidP="00C8212F">
      <w:pPr>
        <w:jc w:val="both"/>
        <w:rPr>
          <w:rFonts w:asciiTheme="majorHAnsi" w:hAnsiTheme="majorHAnsi" w:cs="Bookman Old Style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2</w:t>
      </w:r>
      <w:r w:rsidRPr="009D5E5E">
        <w:rPr>
          <w:rFonts w:asciiTheme="majorHAnsi" w:hAnsiTheme="majorHAnsi" w:cs="Bookman Old Style"/>
          <w:lang w:val="it-IT"/>
        </w:rPr>
        <w:t xml:space="preserve"> </w:t>
      </w: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Per l’accesso alla valutazione finale di ogni studente è richiesta la frequenza di almeno tre quarti dell’orario annuale personalizzato.</w:t>
      </w: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Il limite massimo di ore di assenza concesse, nel quadro orario annuale personalizzato, ai fini della validità dell’anno scolastico, è fissato, per ogni classe e per ogni disciplina, secondo le seguenti tabelle:</w:t>
      </w:r>
    </w:p>
    <w:p w:rsidR="00BB2D2E" w:rsidRDefault="00BB2D2E" w:rsidP="00C8212F">
      <w:pPr>
        <w:jc w:val="center"/>
        <w:rPr>
          <w:rFonts w:asciiTheme="majorHAnsi" w:hAnsiTheme="majorHAnsi"/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1963"/>
        <w:gridCol w:w="2104"/>
        <w:gridCol w:w="2003"/>
        <w:gridCol w:w="1981"/>
      </w:tblGrid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Liceo</w:t>
            </w:r>
            <w:proofErr w:type="spellEnd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classico</w:t>
            </w:r>
            <w:proofErr w:type="spellEnd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ordinamentale</w:t>
            </w:r>
            <w:proofErr w:type="spellEnd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 xml:space="preserve">Ore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settimanali</w:t>
            </w:r>
            <w:proofErr w:type="spellEnd"/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 xml:space="preserve">Ore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annuali</w:t>
            </w:r>
            <w:proofErr w:type="spellEnd"/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DF0270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 xml:space="preserve">Assenze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 xml:space="preserve"> alunni 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27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891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223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27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891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223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III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31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1023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256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IV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31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1023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256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V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31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1023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256</w:t>
            </w:r>
          </w:p>
        </w:tc>
      </w:tr>
    </w:tbl>
    <w:p w:rsidR="0034313F" w:rsidRDefault="0034313F" w:rsidP="0034313F">
      <w:pPr>
        <w:jc w:val="both"/>
        <w:rPr>
          <w:rFonts w:asciiTheme="majorHAnsi" w:hAnsiTheme="majorHAnsi"/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1963"/>
        <w:gridCol w:w="2104"/>
        <w:gridCol w:w="2003"/>
        <w:gridCol w:w="1981"/>
      </w:tblGrid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Liceo</w:t>
            </w:r>
            <w:proofErr w:type="spellEnd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linguistico</w:t>
            </w:r>
            <w:proofErr w:type="spellEnd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ordinamentale</w:t>
            </w:r>
            <w:proofErr w:type="spellEnd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 xml:space="preserve">Ore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settimanali</w:t>
            </w:r>
            <w:proofErr w:type="spellEnd"/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 xml:space="preserve">Ore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annuali</w:t>
            </w:r>
            <w:proofErr w:type="spellEnd"/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DF0270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 xml:space="preserve">Assenze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 xml:space="preserve"> alunni 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27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891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223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27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891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223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III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30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/>
                <w:sz w:val="16"/>
                <w:szCs w:val="16"/>
              </w:rPr>
              <w:t>990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/>
                <w:sz w:val="16"/>
                <w:szCs w:val="16"/>
              </w:rPr>
              <w:t>248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IV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30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/>
                <w:sz w:val="16"/>
                <w:szCs w:val="16"/>
              </w:rPr>
              <w:t>990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/>
                <w:sz w:val="16"/>
                <w:szCs w:val="16"/>
              </w:rPr>
              <w:t>248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V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30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/>
                <w:sz w:val="16"/>
                <w:szCs w:val="16"/>
              </w:rPr>
              <w:t>990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/>
                <w:sz w:val="16"/>
                <w:szCs w:val="16"/>
              </w:rPr>
              <w:t>248</w:t>
            </w:r>
          </w:p>
        </w:tc>
      </w:tr>
    </w:tbl>
    <w:p w:rsidR="0034313F" w:rsidRDefault="0034313F" w:rsidP="0034313F">
      <w:pPr>
        <w:jc w:val="both"/>
        <w:rPr>
          <w:rFonts w:asciiTheme="majorHAnsi" w:hAnsiTheme="majorHAnsi"/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1963"/>
        <w:gridCol w:w="2104"/>
        <w:gridCol w:w="2003"/>
        <w:gridCol w:w="1981"/>
      </w:tblGrid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Istituto</w:t>
            </w:r>
            <w:proofErr w:type="spellEnd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tecnico</w:t>
            </w:r>
            <w:proofErr w:type="spellEnd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FA33FB">
              <w:rPr>
                <w:rFonts w:asciiTheme="majorHAnsi" w:hAnsiTheme="majorHAnsi" w:cs="Calibri"/>
                <w:b/>
                <w:sz w:val="16"/>
                <w:szCs w:val="16"/>
              </w:rPr>
              <w:t>economico</w:t>
            </w:r>
            <w:proofErr w:type="spellEnd"/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 xml:space="preserve">Ore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settimanali</w:t>
            </w:r>
            <w:proofErr w:type="spellEnd"/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 xml:space="preserve">Ore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annuali</w:t>
            </w:r>
            <w:proofErr w:type="spellEnd"/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DF0270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 xml:space="preserve">Assenze </w:t>
            </w:r>
            <w:proofErr w:type="spellStart"/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FA33FB">
              <w:rPr>
                <w:rFonts w:asciiTheme="majorHAnsi" w:hAnsiTheme="majorHAnsi" w:cs="Bookman Old Style"/>
                <w:b/>
                <w:sz w:val="16"/>
                <w:szCs w:val="16"/>
                <w:lang w:val="it-IT"/>
              </w:rPr>
              <w:t xml:space="preserve"> alunni 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32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1056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264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32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1056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264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III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32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1056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264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IV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32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1056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264</w:t>
            </w:r>
          </w:p>
        </w:tc>
      </w:tr>
      <w:tr w:rsidR="00DF0270" w:rsidRPr="00FA33FB" w:rsidTr="00DF0270">
        <w:tc>
          <w:tcPr>
            <w:tcW w:w="1963" w:type="dxa"/>
            <w:shd w:val="clear" w:color="auto" w:fill="FFFFFF"/>
          </w:tcPr>
          <w:p w:rsidR="00DF0270" w:rsidRPr="00FA33FB" w:rsidRDefault="00DF0270" w:rsidP="006B5F8B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V</w:t>
            </w:r>
          </w:p>
        </w:tc>
        <w:tc>
          <w:tcPr>
            <w:tcW w:w="2104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32</w:t>
            </w:r>
          </w:p>
        </w:tc>
        <w:tc>
          <w:tcPr>
            <w:tcW w:w="2003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sz w:val="16"/>
                <w:szCs w:val="16"/>
              </w:rPr>
              <w:t>1056</w:t>
            </w:r>
          </w:p>
        </w:tc>
        <w:tc>
          <w:tcPr>
            <w:tcW w:w="1981" w:type="dxa"/>
            <w:shd w:val="clear" w:color="auto" w:fill="FFFFFF"/>
          </w:tcPr>
          <w:p w:rsidR="00DF0270" w:rsidRPr="00FA33FB" w:rsidRDefault="00DF0270" w:rsidP="006B5F8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A33FB">
              <w:rPr>
                <w:rFonts w:asciiTheme="majorHAnsi" w:hAnsiTheme="majorHAnsi" w:cs="Bookman Old Style"/>
                <w:b/>
                <w:sz w:val="16"/>
                <w:szCs w:val="16"/>
              </w:rPr>
              <w:t>264</w:t>
            </w:r>
          </w:p>
        </w:tc>
      </w:tr>
    </w:tbl>
    <w:p w:rsidR="0034313F" w:rsidRDefault="0034313F" w:rsidP="0034313F">
      <w:pPr>
        <w:jc w:val="both"/>
        <w:rPr>
          <w:rFonts w:asciiTheme="majorHAnsi" w:hAnsiTheme="majorHAnsi"/>
          <w:lang w:val="it-IT"/>
        </w:rPr>
      </w:pP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 xml:space="preserve">Art. 3 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Sono computate come ore di assenza secondo il numero delle ore giornaliere effettive: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</w:rPr>
      </w:pPr>
      <w:proofErr w:type="spellStart"/>
      <w:r w:rsidRPr="009D5E5E">
        <w:rPr>
          <w:rFonts w:asciiTheme="majorHAnsi" w:hAnsiTheme="majorHAnsi" w:cs="Bookman Old Style"/>
        </w:rPr>
        <w:t>entrate</w:t>
      </w:r>
      <w:proofErr w:type="spellEnd"/>
      <w:r w:rsidRPr="009D5E5E">
        <w:rPr>
          <w:rFonts w:asciiTheme="majorHAnsi" w:hAnsiTheme="majorHAnsi" w:cs="Bookman Old Style"/>
        </w:rPr>
        <w:t xml:space="preserve"> </w:t>
      </w:r>
      <w:proofErr w:type="spellStart"/>
      <w:r w:rsidRPr="009D5E5E">
        <w:rPr>
          <w:rFonts w:asciiTheme="majorHAnsi" w:hAnsiTheme="majorHAnsi" w:cs="Bookman Old Style"/>
        </w:rPr>
        <w:t>posticipate</w:t>
      </w:r>
      <w:proofErr w:type="spellEnd"/>
      <w:r w:rsidRPr="009D5E5E">
        <w:rPr>
          <w:rFonts w:asciiTheme="majorHAnsi" w:hAnsiTheme="majorHAnsi" w:cs="Bookman Old Style"/>
        </w:rPr>
        <w:t>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</w:rPr>
      </w:pPr>
      <w:proofErr w:type="spellStart"/>
      <w:r w:rsidRPr="009D5E5E">
        <w:rPr>
          <w:rFonts w:asciiTheme="majorHAnsi" w:hAnsiTheme="majorHAnsi" w:cs="Bookman Old Style"/>
        </w:rPr>
        <w:t>uscite</w:t>
      </w:r>
      <w:proofErr w:type="spellEnd"/>
      <w:r w:rsidRPr="009D5E5E">
        <w:rPr>
          <w:rFonts w:asciiTheme="majorHAnsi" w:hAnsiTheme="majorHAnsi" w:cs="Bookman Old Style"/>
        </w:rPr>
        <w:t xml:space="preserve"> anticipate;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 w:cs="Bookman Old Style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assenze per malattia inferiori a 5 giorni e non comprovati da certificazione medica;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</w:rPr>
      </w:pPr>
      <w:proofErr w:type="spellStart"/>
      <w:r w:rsidRPr="009D5E5E">
        <w:rPr>
          <w:rFonts w:asciiTheme="majorHAnsi" w:hAnsiTheme="majorHAnsi" w:cs="Bookman Old Style"/>
        </w:rPr>
        <w:t>assenze</w:t>
      </w:r>
      <w:proofErr w:type="spellEnd"/>
      <w:r w:rsidRPr="009D5E5E">
        <w:rPr>
          <w:rFonts w:asciiTheme="majorHAnsi" w:hAnsiTheme="majorHAnsi" w:cs="Bookman Old Style"/>
        </w:rPr>
        <w:t xml:space="preserve"> per </w:t>
      </w:r>
      <w:proofErr w:type="spellStart"/>
      <w:r w:rsidRPr="009D5E5E">
        <w:rPr>
          <w:rFonts w:asciiTheme="majorHAnsi" w:hAnsiTheme="majorHAnsi" w:cs="Bookman Old Style"/>
        </w:rPr>
        <w:t>motivi</w:t>
      </w:r>
      <w:proofErr w:type="spellEnd"/>
      <w:r w:rsidRPr="009D5E5E">
        <w:rPr>
          <w:rFonts w:asciiTheme="majorHAnsi" w:hAnsiTheme="majorHAnsi" w:cs="Bookman Old Style"/>
        </w:rPr>
        <w:t xml:space="preserve"> </w:t>
      </w:r>
      <w:proofErr w:type="spellStart"/>
      <w:r w:rsidRPr="009D5E5E">
        <w:rPr>
          <w:rFonts w:asciiTheme="majorHAnsi" w:hAnsiTheme="majorHAnsi" w:cs="Bookman Old Style"/>
        </w:rPr>
        <w:t>familiari</w:t>
      </w:r>
      <w:proofErr w:type="spellEnd"/>
      <w:r w:rsidRPr="009D5E5E">
        <w:rPr>
          <w:rFonts w:asciiTheme="majorHAnsi" w:hAnsiTheme="majorHAnsi" w:cs="Bookman Old Style"/>
        </w:rPr>
        <w:t>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 xml:space="preserve">astensione dalle lezioni (scioperi degli studenti) e dalle assemblee d’istituto; 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non frequenza in caso di non partecipazione a viaggi di istruzione o a visite guidate;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non partecipazione alle attività organizzate in ore curricolari.</w:t>
      </w:r>
    </w:p>
    <w:p w:rsidR="00BE5A49" w:rsidRPr="009D5E5E" w:rsidRDefault="00BE5A49" w:rsidP="00BE5A49">
      <w:pPr>
        <w:jc w:val="both"/>
        <w:rPr>
          <w:rFonts w:asciiTheme="majorHAnsi" w:hAnsiTheme="majorHAnsi" w:cs="Bookman Old Style"/>
          <w:b/>
          <w:lang w:val="it-IT"/>
        </w:rPr>
      </w:pP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4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lastRenderedPageBreak/>
        <w:t>Non sono computate come ore di assenza:</w:t>
      </w:r>
    </w:p>
    <w:p w:rsidR="00BE5A49" w:rsidRPr="009D5E5E" w:rsidRDefault="00BE5A49" w:rsidP="00BE5A49">
      <w:pPr>
        <w:numPr>
          <w:ilvl w:val="0"/>
          <w:numId w:val="3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 xml:space="preserve">la partecipazione ad attività organizzate dalla scuola (campionati studenteschi, progetti didattici inseriti nel </w:t>
      </w:r>
      <w:proofErr w:type="spellStart"/>
      <w:r w:rsidRPr="009D5E5E">
        <w:rPr>
          <w:rFonts w:asciiTheme="majorHAnsi" w:hAnsiTheme="majorHAnsi" w:cs="Bookman Old Style"/>
          <w:lang w:val="it-IT"/>
        </w:rPr>
        <w:t>P.O.F.</w:t>
      </w:r>
      <w:proofErr w:type="spellEnd"/>
      <w:r w:rsidRPr="009D5E5E">
        <w:rPr>
          <w:rFonts w:asciiTheme="majorHAnsi" w:hAnsiTheme="majorHAnsi" w:cs="Bookman Old Style"/>
          <w:lang w:val="it-IT"/>
        </w:rPr>
        <w:t xml:space="preserve"> e/o approvati dal consiglio di classe, attività di orientamento rivolte agli alunni della scuola media);</w:t>
      </w:r>
    </w:p>
    <w:p w:rsidR="00BE5A49" w:rsidRPr="009D5E5E" w:rsidRDefault="00BE5A49" w:rsidP="00BE5A49">
      <w:pPr>
        <w:numPr>
          <w:ilvl w:val="0"/>
          <w:numId w:val="3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la partecipazione ad attività di orientamento universitario (classi quinte) con certificato di presenza;</w:t>
      </w:r>
    </w:p>
    <w:p w:rsidR="00BE5A49" w:rsidRPr="009D5E5E" w:rsidRDefault="00BE5A49" w:rsidP="00BE5A49">
      <w:pPr>
        <w:numPr>
          <w:ilvl w:val="0"/>
          <w:numId w:val="3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la partecipazione ad esami di certificazione esterna o concorsi (</w:t>
      </w:r>
      <w:proofErr w:type="spellStart"/>
      <w:r w:rsidRPr="009D5E5E">
        <w:rPr>
          <w:rFonts w:asciiTheme="majorHAnsi" w:hAnsiTheme="majorHAnsi" w:cs="Bookman Old Style"/>
          <w:lang w:val="it-IT"/>
        </w:rPr>
        <w:t>Trinity</w:t>
      </w:r>
      <w:proofErr w:type="spellEnd"/>
      <w:r w:rsidRPr="009D5E5E">
        <w:rPr>
          <w:rFonts w:asciiTheme="majorHAnsi" w:hAnsiTheme="majorHAnsi" w:cs="Bookman Old Style"/>
          <w:lang w:val="it-IT"/>
        </w:rPr>
        <w:t xml:space="preserve">, Cambridge, </w:t>
      </w:r>
      <w:proofErr w:type="spellStart"/>
      <w:r w:rsidRPr="009D5E5E">
        <w:rPr>
          <w:rFonts w:asciiTheme="majorHAnsi" w:hAnsiTheme="majorHAnsi" w:cs="Bookman Old Style"/>
          <w:i/>
          <w:lang w:val="it-IT"/>
        </w:rPr>
        <w:t>certamina</w:t>
      </w:r>
      <w:proofErr w:type="spellEnd"/>
      <w:r w:rsidRPr="009D5E5E">
        <w:rPr>
          <w:rFonts w:asciiTheme="majorHAnsi" w:hAnsiTheme="majorHAnsi" w:cs="Bookman Old Style"/>
          <w:lang w:val="it-IT"/>
        </w:rPr>
        <w:t>, agoni,  ecc..);</w:t>
      </w:r>
    </w:p>
    <w:p w:rsidR="00BE5A49" w:rsidRPr="009D5E5E" w:rsidRDefault="00BE5A49" w:rsidP="00BE5A49">
      <w:pPr>
        <w:numPr>
          <w:ilvl w:val="0"/>
          <w:numId w:val="3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le entrate posticipate e le uscite anticipate disposte dall’istituzione scolastica per motivi organizzativi.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5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Sulla base di quanto disposto nell’art. 14, comma 7 del DPR 122/2009, si considerano assenze continuative che possono consentire di derogare ai limiti sopra riportati:</w:t>
      </w:r>
    </w:p>
    <w:p w:rsidR="00BE5A49" w:rsidRPr="009D5E5E" w:rsidRDefault="00BE5A49" w:rsidP="00BE5A49">
      <w:pPr>
        <w:numPr>
          <w:ilvl w:val="0"/>
          <w:numId w:val="2"/>
        </w:numPr>
        <w:ind w:hanging="360"/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assenze per ricovero ospedaliero o in casa di cura, documentato con certificato di ricovero e di dimissione e successivo periodo di convalescenza prescritto all’atto della dimissione e convalidato dal medico curante;</w:t>
      </w:r>
    </w:p>
    <w:p w:rsidR="00BE5A49" w:rsidRPr="00A76E7F" w:rsidRDefault="00BE5A49" w:rsidP="00BE5A49">
      <w:pPr>
        <w:numPr>
          <w:ilvl w:val="0"/>
          <w:numId w:val="2"/>
        </w:numPr>
        <w:ind w:hanging="360"/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assenze continuative superiori a 30 giorni o assenze ricorrenti per grave malattia documentata con certificato del medico curante attestante la gravità della patologia;</w:t>
      </w:r>
    </w:p>
    <w:p w:rsidR="00BE5A49" w:rsidRPr="00A76E7F" w:rsidRDefault="00BE5A49" w:rsidP="00BE5A49">
      <w:pPr>
        <w:numPr>
          <w:ilvl w:val="0"/>
          <w:numId w:val="2"/>
        </w:numPr>
        <w:ind w:hanging="360"/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assenze per gravi motivi personali o familiari (provvedimenti dell’autorità giudiziaria, attivazione di separazione dei genitori in coincidenza con l’assenza, gravi patologie dei componenti del nucleo familiare entro il secondo grado).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Tali deroghe sono concesse a condizione, comunque, che tali assenze non pregiudichino, a giudizio del Consiglio di Classe, la possibilità di procedere alla valutazione degli alunni interessati. Il Consiglio di Classe determina nel merito con delibera specifica e con motivazioni documentate.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Possono essere considerate assenze derogabili la partecipazione a campionati sportivi o la frequenza del Conservatorio, in quanto attività valutabili come credito formativo.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6</w:t>
      </w:r>
      <w:r w:rsidRPr="009D5E5E">
        <w:rPr>
          <w:rFonts w:asciiTheme="majorHAnsi" w:hAnsiTheme="majorHAnsi" w:cs="Bookman Old Style"/>
          <w:lang w:val="it-IT"/>
        </w:rPr>
        <w:t xml:space="preserve"> 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 xml:space="preserve">Il mancato conseguimento, tenuto conto delle deroghe riconosciute, della quota di almeno tre quarti dell’orario annuale personalizzato comporta la non validità dell’anno scolastico, la conseguente esclusione dallo scrutinio finale e la non ammissione alla classe successiva o all’esame finale. </w:t>
      </w:r>
    </w:p>
    <w:p w:rsidR="00F1246B" w:rsidRDefault="00F1246B" w:rsidP="00F1246B">
      <w:pPr>
        <w:spacing w:before="1"/>
        <w:ind w:left="112" w:right="120"/>
        <w:jc w:val="both"/>
        <w:rPr>
          <w:rFonts w:ascii="Cambria" w:hAnsi="Cambria"/>
          <w:color w:val="000000"/>
          <w:lang w:val="it-IT"/>
        </w:rPr>
      </w:pPr>
    </w:p>
    <w:p w:rsidR="00F1246B" w:rsidRDefault="00F1246B" w:rsidP="00F1246B">
      <w:pPr>
        <w:spacing w:before="1"/>
        <w:ind w:left="112" w:right="120"/>
        <w:jc w:val="both"/>
        <w:rPr>
          <w:rFonts w:ascii="Cambria" w:hAnsi="Cambria"/>
          <w:color w:val="000000"/>
          <w:lang w:val="it-IT"/>
        </w:rPr>
      </w:pPr>
    </w:p>
    <w:p w:rsidR="00F1246B" w:rsidRDefault="00F1246B" w:rsidP="00F1246B">
      <w:pPr>
        <w:spacing w:before="1"/>
        <w:ind w:left="112" w:right="120"/>
        <w:jc w:val="both"/>
        <w:rPr>
          <w:rFonts w:ascii="Cambria" w:hAnsi="Cambria"/>
          <w:color w:val="000000"/>
          <w:lang w:val="it-IT"/>
        </w:rPr>
      </w:pPr>
    </w:p>
    <w:p w:rsidR="00F1246B" w:rsidRDefault="00F1246B" w:rsidP="00F1246B">
      <w:pPr>
        <w:spacing w:before="1"/>
        <w:ind w:left="112" w:right="120"/>
        <w:jc w:val="both"/>
        <w:rPr>
          <w:rFonts w:ascii="Cambria" w:hAnsi="Cambria"/>
          <w:color w:val="000000"/>
          <w:lang w:val="it-IT"/>
        </w:rPr>
      </w:pPr>
    </w:p>
    <w:p w:rsidR="00F1246B" w:rsidRPr="00F1246B" w:rsidRDefault="00F1246B" w:rsidP="00F1246B">
      <w:pPr>
        <w:spacing w:before="1"/>
        <w:ind w:left="112" w:right="120"/>
        <w:jc w:val="both"/>
        <w:rPr>
          <w:rFonts w:ascii="Cambria" w:hAnsi="Cambria"/>
          <w:lang w:val="it-IT"/>
        </w:rPr>
      </w:pPr>
      <w:r w:rsidRPr="00F1246B">
        <w:rPr>
          <w:rFonts w:ascii="Cambria" w:hAnsi="Cambria"/>
          <w:color w:val="000000"/>
          <w:lang w:val="it-IT"/>
        </w:rPr>
        <w:t xml:space="preserve">PROPOSTO DAL COLLEGIO DEI DOCENTI CON DELIBERA </w:t>
      </w:r>
      <w:proofErr w:type="spellStart"/>
      <w:r w:rsidRPr="00F1246B">
        <w:rPr>
          <w:rFonts w:ascii="Cambria" w:hAnsi="Cambria"/>
          <w:color w:val="000000"/>
          <w:lang w:val="it-IT"/>
        </w:rPr>
        <w:t>N°</w:t>
      </w:r>
      <w:proofErr w:type="spellEnd"/>
      <w:r w:rsidRPr="00F1246B">
        <w:rPr>
          <w:rFonts w:ascii="Cambria" w:hAnsi="Cambria"/>
          <w:color w:val="000000"/>
          <w:lang w:val="it-IT"/>
        </w:rPr>
        <w:t xml:space="preserve"> </w:t>
      </w:r>
      <w:r w:rsidR="006F27F6">
        <w:rPr>
          <w:rFonts w:ascii="Cambria" w:hAnsi="Cambria"/>
          <w:color w:val="000000"/>
          <w:lang w:val="it-IT"/>
        </w:rPr>
        <w:t xml:space="preserve">12 </w:t>
      </w:r>
      <w:r w:rsidRPr="00F1246B">
        <w:rPr>
          <w:rFonts w:ascii="Cambria" w:hAnsi="Cambria"/>
          <w:color w:val="000000"/>
          <w:lang w:val="it-IT"/>
        </w:rPr>
        <w:t xml:space="preserve">DEL </w:t>
      </w:r>
      <w:r w:rsidR="006F27F6">
        <w:rPr>
          <w:rFonts w:ascii="Cambria" w:hAnsi="Cambria"/>
          <w:color w:val="000000"/>
          <w:lang w:val="it-IT"/>
        </w:rPr>
        <w:t>22</w:t>
      </w:r>
      <w:r w:rsidRPr="00F1246B">
        <w:rPr>
          <w:rFonts w:ascii="Cambria" w:hAnsi="Cambria"/>
          <w:color w:val="000000"/>
          <w:lang w:val="it-IT"/>
        </w:rPr>
        <w:t>/</w:t>
      </w:r>
      <w:r w:rsidR="006F27F6">
        <w:rPr>
          <w:rFonts w:ascii="Cambria" w:hAnsi="Cambria"/>
          <w:color w:val="000000"/>
          <w:lang w:val="it-IT"/>
        </w:rPr>
        <w:t>03</w:t>
      </w:r>
      <w:r w:rsidRPr="00F1246B">
        <w:rPr>
          <w:rFonts w:ascii="Cambria" w:hAnsi="Cambria"/>
          <w:color w:val="000000"/>
          <w:lang w:val="it-IT"/>
        </w:rPr>
        <w:t>/201</w:t>
      </w:r>
      <w:r w:rsidR="006F27F6">
        <w:rPr>
          <w:rFonts w:ascii="Cambria" w:hAnsi="Cambria"/>
          <w:color w:val="000000"/>
          <w:lang w:val="it-IT"/>
        </w:rPr>
        <w:t>9</w:t>
      </w:r>
    </w:p>
    <w:p w:rsidR="00F1246B" w:rsidRPr="00F1246B" w:rsidRDefault="00F1246B" w:rsidP="00F1246B">
      <w:pPr>
        <w:spacing w:before="1"/>
        <w:ind w:left="112" w:right="120"/>
        <w:jc w:val="both"/>
        <w:rPr>
          <w:rFonts w:ascii="Cambria" w:hAnsi="Cambria"/>
          <w:color w:val="000000"/>
          <w:lang w:val="it-IT"/>
        </w:rPr>
      </w:pPr>
    </w:p>
    <w:p w:rsidR="00F1246B" w:rsidRPr="00F1246B" w:rsidRDefault="00F1246B" w:rsidP="00F1246B">
      <w:pPr>
        <w:spacing w:before="1"/>
        <w:ind w:left="112" w:right="120"/>
        <w:jc w:val="both"/>
        <w:rPr>
          <w:rFonts w:ascii="Cambria" w:hAnsi="Cambria"/>
          <w:lang w:val="it-IT"/>
        </w:rPr>
      </w:pPr>
    </w:p>
    <w:p w:rsidR="00BE5A49" w:rsidRPr="00C8212F" w:rsidRDefault="00BE5A49" w:rsidP="0034313F">
      <w:pPr>
        <w:jc w:val="both"/>
        <w:rPr>
          <w:rFonts w:asciiTheme="majorHAnsi" w:hAnsiTheme="majorHAnsi"/>
          <w:lang w:val="it-IT"/>
        </w:rPr>
      </w:pPr>
    </w:p>
    <w:sectPr w:rsidR="00BE5A49" w:rsidRPr="00C8212F" w:rsidSect="00BB2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C8212F"/>
    <w:rsid w:val="0034313F"/>
    <w:rsid w:val="003B0827"/>
    <w:rsid w:val="003C315E"/>
    <w:rsid w:val="00504DB9"/>
    <w:rsid w:val="006F27F6"/>
    <w:rsid w:val="007A28CA"/>
    <w:rsid w:val="008076BF"/>
    <w:rsid w:val="00876EAA"/>
    <w:rsid w:val="00882E41"/>
    <w:rsid w:val="009D5E5E"/>
    <w:rsid w:val="00A76E7F"/>
    <w:rsid w:val="00BB2D2E"/>
    <w:rsid w:val="00BE5A49"/>
    <w:rsid w:val="00C3483C"/>
    <w:rsid w:val="00C75341"/>
    <w:rsid w:val="00C8212F"/>
    <w:rsid w:val="00D54084"/>
    <w:rsid w:val="00DC78FC"/>
    <w:rsid w:val="00DF0270"/>
    <w:rsid w:val="00E80ECE"/>
    <w:rsid w:val="00F1246B"/>
    <w:rsid w:val="00FA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1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8212F"/>
    <w:pPr>
      <w:widowControl w:val="0"/>
      <w:tabs>
        <w:tab w:val="left" w:pos="360"/>
      </w:tabs>
      <w:ind w:left="720"/>
      <w:contextualSpacing/>
      <w:jc w:val="both"/>
    </w:pPr>
    <w:rPr>
      <w:rFonts w:ascii="Comic Sans MS" w:hAnsi="Comic Sans MS" w:cs="Comic Sans MS"/>
      <w:kern w:val="1"/>
      <w:lang w:val="it-IT"/>
    </w:rPr>
  </w:style>
  <w:style w:type="paragraph" w:customStyle="1" w:styleId="Standard">
    <w:name w:val="Standard"/>
    <w:rsid w:val="00504DB9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dc:description/>
  <cp:lastModifiedBy>Nunziata Gilda</cp:lastModifiedBy>
  <cp:revision>16</cp:revision>
  <dcterms:created xsi:type="dcterms:W3CDTF">2018-10-24T16:02:00Z</dcterms:created>
  <dcterms:modified xsi:type="dcterms:W3CDTF">2019-04-10T09:46:00Z</dcterms:modified>
</cp:coreProperties>
</file>